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5B35" w14:textId="77777777" w:rsidR="00B83EC0" w:rsidRPr="007644AC" w:rsidRDefault="00B83EC0" w:rsidP="00B83EC0">
      <w:pPr>
        <w:rPr>
          <w:rFonts w:ascii="Segoe UI" w:hAnsi="Segoe UI" w:cs="Segoe UI"/>
          <w:sz w:val="22"/>
          <w:szCs w:val="22"/>
        </w:rPr>
      </w:pPr>
    </w:p>
    <w:p w14:paraId="1AA56ABB" w14:textId="77777777" w:rsidR="00B83EC0" w:rsidRPr="007644AC" w:rsidRDefault="00B83EC0" w:rsidP="00B83EC0">
      <w:pPr>
        <w:rPr>
          <w:rFonts w:ascii="Segoe UI" w:hAnsi="Segoe UI" w:cs="Segoe UI"/>
          <w:sz w:val="22"/>
          <w:szCs w:val="22"/>
        </w:rPr>
      </w:pPr>
    </w:p>
    <w:p w14:paraId="29BE8BEF" w14:textId="77777777" w:rsidR="00B83EC0" w:rsidRPr="007644AC" w:rsidRDefault="00B83EC0" w:rsidP="00B83EC0">
      <w:pPr>
        <w:rPr>
          <w:rFonts w:ascii="Segoe UI" w:hAnsi="Segoe UI" w:cs="Segoe UI"/>
          <w:sz w:val="22"/>
          <w:szCs w:val="22"/>
        </w:rPr>
      </w:pPr>
    </w:p>
    <w:p w14:paraId="42EB9B3E" w14:textId="77777777" w:rsidR="00B16C53" w:rsidRPr="007644AC" w:rsidRDefault="00B16C53" w:rsidP="00B83EC0">
      <w:pPr>
        <w:rPr>
          <w:rFonts w:ascii="Segoe UI" w:hAnsi="Segoe UI" w:cs="Segoe UI"/>
          <w:sz w:val="22"/>
          <w:szCs w:val="22"/>
        </w:rPr>
      </w:pPr>
    </w:p>
    <w:p w14:paraId="5C6DEE04" w14:textId="77777777" w:rsidR="00B16C53" w:rsidRPr="007644AC" w:rsidRDefault="00B16C53" w:rsidP="00B83EC0">
      <w:pPr>
        <w:rPr>
          <w:rFonts w:ascii="Segoe UI" w:hAnsi="Segoe UI" w:cs="Segoe UI"/>
          <w:sz w:val="22"/>
          <w:szCs w:val="22"/>
        </w:rPr>
      </w:pPr>
    </w:p>
    <w:p w14:paraId="59BDD94C" w14:textId="77777777" w:rsidR="00B83EC0" w:rsidRPr="007644AC" w:rsidRDefault="00B83EC0" w:rsidP="00B83EC0">
      <w:pPr>
        <w:rPr>
          <w:rFonts w:ascii="Segoe UI" w:hAnsi="Segoe UI" w:cs="Segoe UI"/>
          <w:sz w:val="22"/>
          <w:szCs w:val="22"/>
        </w:rPr>
      </w:pPr>
    </w:p>
    <w:p w14:paraId="11DCDBD9" w14:textId="77777777" w:rsidR="00B83EC0" w:rsidRPr="007644AC" w:rsidRDefault="00B83EC0" w:rsidP="00B83EC0">
      <w:pPr>
        <w:rPr>
          <w:rFonts w:ascii="Segoe UI" w:hAnsi="Segoe UI" w:cs="Segoe UI"/>
          <w:sz w:val="22"/>
          <w:szCs w:val="22"/>
        </w:rPr>
      </w:pPr>
    </w:p>
    <w:p w14:paraId="34DB0D9F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i/>
          <w:kern w:val="0"/>
          <w:sz w:val="22"/>
          <w:szCs w:val="22"/>
          <w:lang w:eastAsia="en-US" w:bidi="ar-SA"/>
        </w:rPr>
      </w:pPr>
    </w:p>
    <w:p w14:paraId="76F4BA84" w14:textId="77777777" w:rsidR="00867118" w:rsidRPr="007644AC" w:rsidRDefault="00EB0CCE" w:rsidP="00867118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kern w:val="0"/>
          <w:sz w:val="32"/>
          <w:szCs w:val="32"/>
          <w:lang w:eastAsia="en-US" w:bidi="ar-SA"/>
        </w:rPr>
      </w:pPr>
      <w:r w:rsidRPr="007644AC">
        <w:rPr>
          <w:rFonts w:ascii="Segoe UI" w:eastAsia="Times New Roman" w:hAnsi="Segoe UI" w:cs="Segoe UI"/>
          <w:b/>
          <w:kern w:val="0"/>
          <w:sz w:val="32"/>
          <w:szCs w:val="32"/>
          <w:lang w:eastAsia="en-US" w:bidi="ar-SA"/>
        </w:rPr>
        <w:t xml:space="preserve">PLAN </w:t>
      </w:r>
      <w:r w:rsidR="00867118" w:rsidRPr="007644AC">
        <w:rPr>
          <w:rFonts w:ascii="Segoe UI" w:eastAsia="Times New Roman" w:hAnsi="Segoe UI" w:cs="Segoe UI"/>
          <w:b/>
          <w:kern w:val="0"/>
          <w:sz w:val="32"/>
          <w:szCs w:val="32"/>
          <w:lang w:eastAsia="en-US" w:bidi="ar-SA"/>
        </w:rPr>
        <w:t xml:space="preserve">DE RENDICIÓN DE CUENTAS </w:t>
      </w:r>
    </w:p>
    <w:p w14:paraId="52A651B2" w14:textId="522F2D96" w:rsidR="00EB0CCE" w:rsidRPr="007644AC" w:rsidRDefault="00867118" w:rsidP="00867118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kern w:val="0"/>
          <w:sz w:val="32"/>
          <w:szCs w:val="32"/>
          <w:lang w:eastAsia="en-US" w:bidi="ar-SA"/>
        </w:rPr>
      </w:pPr>
      <w:r w:rsidRPr="007644AC">
        <w:rPr>
          <w:rFonts w:ascii="Segoe UI" w:eastAsia="Times New Roman" w:hAnsi="Segoe UI" w:cs="Segoe UI"/>
          <w:b/>
          <w:kern w:val="0"/>
          <w:sz w:val="32"/>
          <w:szCs w:val="32"/>
          <w:lang w:eastAsia="en-US" w:bidi="ar-SA"/>
        </w:rPr>
        <w:t>AL CIUDADANO</w:t>
      </w:r>
    </w:p>
    <w:p w14:paraId="5198F7B3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i/>
          <w:kern w:val="0"/>
          <w:sz w:val="32"/>
          <w:szCs w:val="32"/>
          <w:lang w:eastAsia="en-US" w:bidi="ar-SA"/>
        </w:rPr>
      </w:pPr>
    </w:p>
    <w:p w14:paraId="7463664A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i/>
          <w:kern w:val="0"/>
          <w:sz w:val="22"/>
          <w:szCs w:val="22"/>
          <w:lang w:eastAsia="en-US" w:bidi="ar-SA"/>
        </w:rPr>
      </w:pPr>
    </w:p>
    <w:p w14:paraId="4DAC6BB7" w14:textId="77777777" w:rsidR="00B16C53" w:rsidRPr="007644AC" w:rsidRDefault="00B16C53" w:rsidP="00EB0CCE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i/>
          <w:kern w:val="0"/>
          <w:sz w:val="22"/>
          <w:szCs w:val="22"/>
          <w:lang w:eastAsia="en-US" w:bidi="ar-SA"/>
        </w:rPr>
      </w:pPr>
    </w:p>
    <w:p w14:paraId="2458240A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jc w:val="center"/>
        <w:rPr>
          <w:rFonts w:ascii="Segoe UI" w:eastAsia="Times New Roman" w:hAnsi="Segoe UI" w:cs="Segoe UI"/>
          <w:b/>
          <w:i/>
          <w:kern w:val="0"/>
          <w:sz w:val="22"/>
          <w:szCs w:val="22"/>
          <w:lang w:eastAsia="en-US" w:bidi="ar-SA"/>
        </w:rPr>
      </w:pPr>
    </w:p>
    <w:p w14:paraId="646B508C" w14:textId="77777777" w:rsidR="00EB0CCE" w:rsidRPr="00197D81" w:rsidRDefault="00EB0CCE" w:rsidP="00EB0CCE">
      <w:pPr>
        <w:widowControl w:val="0"/>
        <w:suppressAutoHyphens w:val="0"/>
        <w:autoSpaceDE w:val="0"/>
        <w:autoSpaceDN w:val="0"/>
        <w:jc w:val="center"/>
        <w:rPr>
          <w:rFonts w:ascii="Book Antiqua" w:eastAsia="Times New Roman" w:hAnsi="Book Antiqua" w:cs="Segoe UI"/>
          <w:b/>
          <w:i/>
          <w:kern w:val="0"/>
          <w:sz w:val="48"/>
          <w:szCs w:val="48"/>
          <w:lang w:eastAsia="en-US" w:bidi="ar-SA"/>
        </w:rPr>
      </w:pPr>
      <w:r w:rsidRPr="00197D81">
        <w:rPr>
          <w:rFonts w:ascii="Book Antiqua" w:eastAsia="Times New Roman" w:hAnsi="Book Antiqua" w:cs="Segoe UI"/>
          <w:b/>
          <w:i/>
          <w:kern w:val="0"/>
          <w:sz w:val="48"/>
          <w:szCs w:val="48"/>
          <w:lang w:eastAsia="en-US" w:bidi="ar-SA"/>
        </w:rPr>
        <w:t>Unidad Técnica del Gabinete Social</w:t>
      </w:r>
    </w:p>
    <w:p w14:paraId="03FDFE8D" w14:textId="77777777" w:rsidR="00EB0CCE" w:rsidRPr="00197D81" w:rsidRDefault="00EB0CCE" w:rsidP="00EB0CCE">
      <w:pPr>
        <w:widowControl w:val="0"/>
        <w:suppressAutoHyphens w:val="0"/>
        <w:autoSpaceDE w:val="0"/>
        <w:autoSpaceDN w:val="0"/>
        <w:jc w:val="center"/>
        <w:rPr>
          <w:rFonts w:ascii="Book Antiqua" w:eastAsia="Times New Roman" w:hAnsi="Book Antiqua" w:cs="Segoe UI"/>
          <w:b/>
          <w:i/>
          <w:kern w:val="0"/>
          <w:sz w:val="48"/>
          <w:szCs w:val="48"/>
          <w:lang w:eastAsia="en-US" w:bidi="ar-SA"/>
        </w:rPr>
      </w:pPr>
      <w:r w:rsidRPr="00197D81">
        <w:rPr>
          <w:rFonts w:ascii="Book Antiqua" w:eastAsia="Times New Roman" w:hAnsi="Book Antiqua" w:cs="Segoe UI"/>
          <w:b/>
          <w:i/>
          <w:kern w:val="0"/>
          <w:sz w:val="48"/>
          <w:szCs w:val="48"/>
          <w:lang w:eastAsia="en-US" w:bidi="ar-SA"/>
        </w:rPr>
        <w:t>Presidencia de la República</w:t>
      </w:r>
    </w:p>
    <w:p w14:paraId="421B2C15" w14:textId="77777777" w:rsidR="00EB0CCE" w:rsidRPr="00197D81" w:rsidRDefault="00EB0CCE" w:rsidP="00EB0CCE">
      <w:pPr>
        <w:widowControl w:val="0"/>
        <w:suppressAutoHyphens w:val="0"/>
        <w:autoSpaceDE w:val="0"/>
        <w:autoSpaceDN w:val="0"/>
        <w:rPr>
          <w:rFonts w:ascii="Book Antiqua" w:eastAsia="Times New Roman" w:hAnsi="Book Antiqua" w:cs="Segoe UI"/>
          <w:b/>
          <w:i/>
          <w:kern w:val="0"/>
          <w:sz w:val="48"/>
          <w:szCs w:val="48"/>
          <w:lang w:eastAsia="en-US" w:bidi="ar-SA"/>
        </w:rPr>
      </w:pPr>
    </w:p>
    <w:p w14:paraId="2776F8B3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rPr>
          <w:rFonts w:ascii="Segoe UI" w:eastAsia="Times New Roman" w:hAnsi="Segoe UI" w:cs="Segoe UI"/>
          <w:b/>
          <w:kern w:val="0"/>
          <w:sz w:val="22"/>
          <w:szCs w:val="22"/>
          <w:lang w:eastAsia="en-US" w:bidi="ar-SA"/>
        </w:rPr>
      </w:pPr>
    </w:p>
    <w:p w14:paraId="1A2FA10E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rPr>
          <w:rFonts w:ascii="Segoe UI" w:eastAsia="Times New Roman" w:hAnsi="Segoe UI" w:cs="Segoe UI"/>
          <w:b/>
          <w:kern w:val="0"/>
          <w:sz w:val="22"/>
          <w:szCs w:val="22"/>
          <w:lang w:eastAsia="en-US" w:bidi="ar-SA"/>
        </w:rPr>
      </w:pPr>
    </w:p>
    <w:p w14:paraId="30424824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rPr>
          <w:rFonts w:ascii="Segoe UI" w:eastAsia="Times New Roman" w:hAnsi="Segoe UI" w:cs="Segoe UI"/>
          <w:b/>
          <w:kern w:val="0"/>
          <w:sz w:val="22"/>
          <w:szCs w:val="22"/>
          <w:lang w:eastAsia="en-US" w:bidi="ar-SA"/>
        </w:rPr>
      </w:pPr>
    </w:p>
    <w:p w14:paraId="79D64D70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rPr>
          <w:rFonts w:ascii="Segoe UI" w:eastAsia="Times New Roman" w:hAnsi="Segoe UI" w:cs="Segoe UI"/>
          <w:b/>
          <w:kern w:val="0"/>
          <w:sz w:val="22"/>
          <w:szCs w:val="22"/>
          <w:lang w:eastAsia="en-US" w:bidi="ar-SA"/>
        </w:rPr>
      </w:pPr>
    </w:p>
    <w:p w14:paraId="19EF94C8" w14:textId="77777777" w:rsidR="00EB0CCE" w:rsidRPr="007644AC" w:rsidRDefault="00EB0CCE" w:rsidP="00EB0CCE">
      <w:pPr>
        <w:widowControl w:val="0"/>
        <w:suppressAutoHyphens w:val="0"/>
        <w:autoSpaceDE w:val="0"/>
        <w:autoSpaceDN w:val="0"/>
        <w:rPr>
          <w:rFonts w:ascii="Segoe UI" w:eastAsia="Times New Roman" w:hAnsi="Segoe UI" w:cs="Segoe UI"/>
          <w:b/>
          <w:kern w:val="0"/>
          <w:sz w:val="22"/>
          <w:szCs w:val="22"/>
          <w:lang w:eastAsia="en-US" w:bidi="ar-SA"/>
        </w:rPr>
      </w:pPr>
    </w:p>
    <w:p w14:paraId="589BB659" w14:textId="77777777" w:rsidR="00B16C53" w:rsidRPr="007644AC" w:rsidRDefault="00B16C53" w:rsidP="00EB0CCE">
      <w:pPr>
        <w:widowControl w:val="0"/>
        <w:suppressAutoHyphens w:val="0"/>
        <w:autoSpaceDE w:val="0"/>
        <w:autoSpaceDN w:val="0"/>
        <w:rPr>
          <w:rFonts w:ascii="Segoe UI" w:eastAsia="Times New Roman" w:hAnsi="Segoe UI" w:cs="Segoe UI"/>
          <w:b/>
          <w:kern w:val="0"/>
          <w:sz w:val="22"/>
          <w:szCs w:val="22"/>
          <w:lang w:eastAsia="en-US" w:bidi="ar-SA"/>
        </w:rPr>
      </w:pPr>
    </w:p>
    <w:p w14:paraId="7AC3FFA3" w14:textId="77777777" w:rsidR="00EB0CCE" w:rsidRPr="00197D81" w:rsidRDefault="00EB0CCE" w:rsidP="00EB0CCE">
      <w:pPr>
        <w:suppressAutoHyphens w:val="0"/>
        <w:spacing w:before="289" w:after="160" w:line="259" w:lineRule="auto"/>
        <w:ind w:right="3306"/>
        <w:rPr>
          <w:rFonts w:ascii="Segoe UI" w:eastAsia="Times New Roman" w:hAnsi="Segoe UI" w:cs="Segoe UI"/>
          <w:b/>
          <w:kern w:val="0"/>
          <w:sz w:val="28"/>
          <w:szCs w:val="28"/>
          <w:lang w:eastAsia="en-US" w:bidi="ar-SA"/>
        </w:rPr>
      </w:pPr>
    </w:p>
    <w:p w14:paraId="2E2981D8" w14:textId="77777777" w:rsidR="00197D81" w:rsidRDefault="00197D81" w:rsidP="00197D81">
      <w:pPr>
        <w:suppressAutoHyphens w:val="0"/>
        <w:spacing w:line="259" w:lineRule="auto"/>
        <w:ind w:left="2124" w:right="140" w:firstLine="708"/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</w:pPr>
    </w:p>
    <w:p w14:paraId="0E0831AE" w14:textId="17C7BAFB" w:rsidR="00197D81" w:rsidRDefault="00197D81" w:rsidP="00197D81">
      <w:pPr>
        <w:suppressAutoHyphens w:val="0"/>
        <w:spacing w:line="259" w:lineRule="auto"/>
        <w:ind w:left="2837" w:right="140"/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</w:pP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 xml:space="preserve"> </w:t>
      </w:r>
      <w:r w:rsidR="00EB0CCE" w:rsidRPr="00197D81"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>Ejercicio Fisca</w:t>
      </w: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>l 202</w:t>
      </w:r>
      <w:r w:rsidR="002B6D56"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>6</w:t>
      </w:r>
    </w:p>
    <w:p w14:paraId="5E76E5B4" w14:textId="5FE14630" w:rsidR="00EB0CCE" w:rsidRPr="00197D81" w:rsidRDefault="00197D81" w:rsidP="00197D81">
      <w:pPr>
        <w:suppressAutoHyphens w:val="0"/>
        <w:spacing w:line="259" w:lineRule="auto"/>
        <w:ind w:right="-285"/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</w:pP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 xml:space="preserve"> </w:t>
      </w: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ab/>
        <w:t xml:space="preserve"> </w:t>
      </w: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ab/>
        <w:t xml:space="preserve"> </w:t>
      </w: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ab/>
        <w:t xml:space="preserve"> </w:t>
      </w:r>
      <w:r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ab/>
      </w:r>
      <w:r w:rsidR="00EB0CCE" w:rsidRPr="00197D81">
        <w:rPr>
          <w:rFonts w:ascii="Segoe UI" w:eastAsia="Calibri" w:hAnsi="Segoe UI" w:cs="Segoe UI"/>
          <w:b/>
          <w:color w:val="404040"/>
          <w:kern w:val="0"/>
          <w:sz w:val="28"/>
          <w:szCs w:val="28"/>
          <w:lang w:val="es-MX" w:eastAsia="en-US" w:bidi="ar-SA"/>
        </w:rPr>
        <w:t>Asunción – Paraguay</w:t>
      </w:r>
    </w:p>
    <w:p w14:paraId="1257079B" w14:textId="77777777" w:rsidR="00EB0CCE" w:rsidRPr="007644AC" w:rsidRDefault="00EB0CCE" w:rsidP="00197D81">
      <w:pPr>
        <w:suppressAutoHyphens w:val="0"/>
        <w:spacing w:line="259" w:lineRule="auto"/>
        <w:ind w:left="2832" w:right="2408"/>
        <w:jc w:val="center"/>
        <w:rPr>
          <w:rFonts w:ascii="Segoe UI" w:eastAsia="Calibri" w:hAnsi="Segoe UI" w:cs="Segoe UI"/>
          <w:b/>
          <w:color w:val="404040"/>
          <w:kern w:val="0"/>
          <w:sz w:val="22"/>
          <w:szCs w:val="22"/>
          <w:lang w:val="es-MX" w:eastAsia="en-US" w:bidi="ar-SA"/>
        </w:rPr>
      </w:pPr>
    </w:p>
    <w:p w14:paraId="2FCB7749" w14:textId="77777777" w:rsidR="00EB0CCE" w:rsidRPr="007644AC" w:rsidRDefault="00EB0CCE" w:rsidP="00EB0CCE">
      <w:pPr>
        <w:suppressAutoHyphens w:val="0"/>
        <w:spacing w:line="259" w:lineRule="auto"/>
        <w:ind w:left="2832" w:right="3306"/>
        <w:jc w:val="center"/>
        <w:rPr>
          <w:rFonts w:ascii="Segoe UI" w:eastAsia="Calibri" w:hAnsi="Segoe UI" w:cs="Segoe UI"/>
          <w:b/>
          <w:kern w:val="0"/>
          <w:sz w:val="22"/>
          <w:szCs w:val="22"/>
          <w:lang w:val="es-MX" w:eastAsia="en-US" w:bidi="ar-SA"/>
        </w:rPr>
      </w:pPr>
    </w:p>
    <w:p w14:paraId="2BAC0B48" w14:textId="77777777" w:rsidR="00EB0CCE" w:rsidRPr="007644AC" w:rsidRDefault="00EB0CCE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023981E2" w14:textId="77777777" w:rsidR="00EB0CCE" w:rsidRDefault="00EB0CCE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5629A197" w14:textId="77777777" w:rsidR="00197D81" w:rsidRPr="007644AC" w:rsidRDefault="00197D81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73385B78" w14:textId="77777777" w:rsidR="00EB0CCE" w:rsidRPr="000F478A" w:rsidRDefault="00EB0CCE" w:rsidP="00EB0CCE">
      <w:pPr>
        <w:suppressAutoHyphens w:val="0"/>
        <w:spacing w:after="160" w:line="259" w:lineRule="auto"/>
        <w:jc w:val="center"/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</w:pPr>
      <w:r w:rsidRPr="000F478A"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  <w:lastRenderedPageBreak/>
        <w:t>ÍNDICE</w:t>
      </w:r>
    </w:p>
    <w:p w14:paraId="5419F66B" w14:textId="77777777" w:rsidR="00EB0CCE" w:rsidRPr="007644AC" w:rsidRDefault="00EB0CCE" w:rsidP="00EB0CCE">
      <w:pPr>
        <w:suppressAutoHyphens w:val="0"/>
        <w:spacing w:after="160" w:line="259" w:lineRule="auto"/>
        <w:jc w:val="center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3403"/>
      </w:tblGrid>
      <w:tr w:rsidR="008F200C" w:rsidRPr="007644AC" w14:paraId="454416EF" w14:textId="5E0B3DB7" w:rsidTr="00100BFF">
        <w:tc>
          <w:tcPr>
            <w:tcW w:w="562" w:type="dxa"/>
          </w:tcPr>
          <w:p w14:paraId="294A7E17" w14:textId="04A3C063" w:rsidR="008F200C" w:rsidRPr="007644AC" w:rsidRDefault="008F200C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1</w:t>
            </w:r>
            <w:r w:rsidR="005A1E67"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253" w:type="dxa"/>
          </w:tcPr>
          <w:p w14:paraId="29D40156" w14:textId="6DF9C667" w:rsidR="008F200C" w:rsidRPr="007644AC" w:rsidRDefault="005A1E67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Introducción</w:t>
            </w:r>
          </w:p>
        </w:tc>
        <w:tc>
          <w:tcPr>
            <w:tcW w:w="3403" w:type="dxa"/>
          </w:tcPr>
          <w:p w14:paraId="704B8067" w14:textId="5D1A9FFC" w:rsidR="008F200C" w:rsidRPr="007644AC" w:rsidRDefault="00BD59CA" w:rsidP="00BD59CA">
            <w:pPr>
              <w:spacing w:after="160" w:line="360" w:lineRule="auto"/>
              <w:jc w:val="right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3</w:t>
            </w:r>
          </w:p>
        </w:tc>
      </w:tr>
      <w:tr w:rsidR="008F200C" w:rsidRPr="007644AC" w14:paraId="55ABFD7E" w14:textId="4D0B2BB8" w:rsidTr="00100BFF">
        <w:tc>
          <w:tcPr>
            <w:tcW w:w="562" w:type="dxa"/>
          </w:tcPr>
          <w:p w14:paraId="6030AEBB" w14:textId="5055CF67" w:rsidR="008F200C" w:rsidRPr="007644AC" w:rsidRDefault="008F200C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2</w:t>
            </w:r>
            <w:r w:rsidR="005A1E67"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253" w:type="dxa"/>
          </w:tcPr>
          <w:p w14:paraId="46AC28F4" w14:textId="3B8CDD75" w:rsidR="008F200C" w:rsidRPr="007644AC" w:rsidRDefault="005A1E67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Objeto</w:t>
            </w:r>
          </w:p>
        </w:tc>
        <w:tc>
          <w:tcPr>
            <w:tcW w:w="3403" w:type="dxa"/>
          </w:tcPr>
          <w:p w14:paraId="409902D7" w14:textId="035246E6" w:rsidR="008F200C" w:rsidRPr="007644AC" w:rsidRDefault="00C852E4" w:rsidP="00BD59CA">
            <w:pPr>
              <w:spacing w:after="160" w:line="360" w:lineRule="auto"/>
              <w:jc w:val="right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4</w:t>
            </w:r>
          </w:p>
        </w:tc>
      </w:tr>
      <w:tr w:rsidR="008F200C" w:rsidRPr="007644AC" w14:paraId="5C2C1DCF" w14:textId="7A5B3617" w:rsidTr="00100BFF">
        <w:tc>
          <w:tcPr>
            <w:tcW w:w="562" w:type="dxa"/>
          </w:tcPr>
          <w:p w14:paraId="4228B758" w14:textId="001EBC1D" w:rsidR="008F200C" w:rsidRPr="007644AC" w:rsidRDefault="008F200C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3</w:t>
            </w:r>
            <w:r w:rsidR="005A1E67"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253" w:type="dxa"/>
          </w:tcPr>
          <w:p w14:paraId="2F0E8C60" w14:textId="710F2B37" w:rsidR="008F200C" w:rsidRPr="007644AC" w:rsidRDefault="00982E30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Misión y Visión</w:t>
            </w:r>
          </w:p>
        </w:tc>
        <w:tc>
          <w:tcPr>
            <w:tcW w:w="3403" w:type="dxa"/>
          </w:tcPr>
          <w:p w14:paraId="1836FC08" w14:textId="06769E6E" w:rsidR="008F200C" w:rsidRPr="007644AC" w:rsidRDefault="00C852E4" w:rsidP="00BD59CA">
            <w:pPr>
              <w:spacing w:after="160" w:line="360" w:lineRule="auto"/>
              <w:jc w:val="right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4</w:t>
            </w:r>
          </w:p>
        </w:tc>
      </w:tr>
      <w:tr w:rsidR="008F200C" w:rsidRPr="007644AC" w14:paraId="5CCC2CC5" w14:textId="275E555D" w:rsidTr="00100BFF">
        <w:tc>
          <w:tcPr>
            <w:tcW w:w="562" w:type="dxa"/>
          </w:tcPr>
          <w:p w14:paraId="7B5F5230" w14:textId="2EA2CC0F" w:rsidR="008F200C" w:rsidRPr="007644AC" w:rsidRDefault="004502F1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4</w:t>
            </w:r>
            <w:r w:rsidR="005A1E67"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253" w:type="dxa"/>
          </w:tcPr>
          <w:p w14:paraId="12E10010" w14:textId="331C52AF" w:rsidR="008F200C" w:rsidRPr="007644AC" w:rsidRDefault="00982E30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Reseña Normativa Institucional</w:t>
            </w:r>
          </w:p>
        </w:tc>
        <w:tc>
          <w:tcPr>
            <w:tcW w:w="3403" w:type="dxa"/>
          </w:tcPr>
          <w:p w14:paraId="68FD8EAC" w14:textId="56E79513" w:rsidR="008F200C" w:rsidRPr="007644AC" w:rsidRDefault="00100BFF" w:rsidP="00BD59CA">
            <w:pPr>
              <w:spacing w:after="160" w:line="360" w:lineRule="auto"/>
              <w:jc w:val="right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5</w:t>
            </w:r>
          </w:p>
        </w:tc>
      </w:tr>
      <w:tr w:rsidR="008F200C" w:rsidRPr="007644AC" w14:paraId="436AFEC4" w14:textId="641DB517" w:rsidTr="00100BFF">
        <w:tc>
          <w:tcPr>
            <w:tcW w:w="562" w:type="dxa"/>
          </w:tcPr>
          <w:p w14:paraId="1FDE5BEF" w14:textId="2E7BF7C8" w:rsidR="008F200C" w:rsidRPr="007644AC" w:rsidRDefault="004502F1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5</w:t>
            </w:r>
            <w:r w:rsidR="005A1E67"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253" w:type="dxa"/>
          </w:tcPr>
          <w:p w14:paraId="3079958D" w14:textId="33ACA1C7" w:rsidR="008F200C" w:rsidRPr="007644AC" w:rsidRDefault="00982E30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Marco Legal de Transparencia y Rendición de Cuentas</w:t>
            </w:r>
          </w:p>
        </w:tc>
        <w:tc>
          <w:tcPr>
            <w:tcW w:w="3403" w:type="dxa"/>
          </w:tcPr>
          <w:p w14:paraId="62B92EB0" w14:textId="0D4ECCA0" w:rsidR="008F200C" w:rsidRPr="007644AC" w:rsidRDefault="00100BFF" w:rsidP="00BD59CA">
            <w:pPr>
              <w:spacing w:after="160" w:line="360" w:lineRule="auto"/>
              <w:jc w:val="right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6</w:t>
            </w:r>
          </w:p>
        </w:tc>
      </w:tr>
      <w:tr w:rsidR="008F200C" w:rsidRPr="007644AC" w14:paraId="2CD2C8C8" w14:textId="508F9836" w:rsidTr="00100BFF">
        <w:tc>
          <w:tcPr>
            <w:tcW w:w="562" w:type="dxa"/>
          </w:tcPr>
          <w:p w14:paraId="7ABC760C" w14:textId="216A9FBE" w:rsidR="008F200C" w:rsidRPr="007644AC" w:rsidRDefault="004502F1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6</w:t>
            </w:r>
            <w:r w:rsidR="008F200C"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.</w:t>
            </w:r>
          </w:p>
        </w:tc>
        <w:tc>
          <w:tcPr>
            <w:tcW w:w="4253" w:type="dxa"/>
          </w:tcPr>
          <w:p w14:paraId="2B09AA30" w14:textId="72124A6F" w:rsidR="008F200C" w:rsidRPr="007644AC" w:rsidRDefault="006E76D4" w:rsidP="002260A9">
            <w:pPr>
              <w:spacing w:after="160" w:line="360" w:lineRule="auto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Plan de Rendición de Cuentas al Ciudadano</w:t>
            </w:r>
          </w:p>
        </w:tc>
        <w:tc>
          <w:tcPr>
            <w:tcW w:w="3403" w:type="dxa"/>
          </w:tcPr>
          <w:p w14:paraId="2FCF4076" w14:textId="230CDDFC" w:rsidR="008F200C" w:rsidRPr="007644AC" w:rsidRDefault="00100BFF" w:rsidP="00BD59CA">
            <w:pPr>
              <w:spacing w:after="160" w:line="360" w:lineRule="auto"/>
              <w:jc w:val="right"/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</w:pPr>
            <w:r w:rsidRPr="007644AC">
              <w:rPr>
                <w:rFonts w:ascii="Segoe UI" w:eastAsia="Calibri" w:hAnsi="Segoe UI" w:cs="Segoe UI"/>
                <w:sz w:val="22"/>
                <w:szCs w:val="22"/>
                <w:lang w:val="es-MX" w:eastAsia="en-US"/>
              </w:rPr>
              <w:t>8</w:t>
            </w:r>
          </w:p>
        </w:tc>
      </w:tr>
    </w:tbl>
    <w:p w14:paraId="1434690D" w14:textId="42BE8640" w:rsidR="00142E13" w:rsidRPr="007644AC" w:rsidRDefault="004502F1" w:rsidP="00142E13">
      <w:pPr>
        <w:suppressAutoHyphens w:val="0"/>
        <w:spacing w:after="160" w:line="360" w:lineRule="auto"/>
        <w:ind w:left="709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6</w:t>
      </w:r>
      <w:r w:rsidR="004924F0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.1.</w:t>
      </w:r>
      <w:r w:rsidR="00142E13" w:rsidRPr="007644AC">
        <w:rPr>
          <w:rFonts w:ascii="Segoe UI" w:hAnsi="Segoe UI" w:cs="Segoe UI"/>
          <w:sz w:val="22"/>
          <w:szCs w:val="22"/>
        </w:rPr>
        <w:t xml:space="preserve"> </w:t>
      </w:r>
      <w:r w:rsidR="00142E1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Conformación del Comité de Rendición de Cuentas de la Unidad Técnica del Gabinete social</w:t>
      </w:r>
    </w:p>
    <w:p w14:paraId="26C5C6D6" w14:textId="22311DE4" w:rsidR="004924F0" w:rsidRPr="007644AC" w:rsidRDefault="004502F1" w:rsidP="00142E13">
      <w:pPr>
        <w:suppressAutoHyphens w:val="0"/>
        <w:spacing w:after="160" w:line="360" w:lineRule="auto"/>
        <w:ind w:left="709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6</w:t>
      </w:r>
      <w:r w:rsidR="004924F0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.2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.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F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unciones del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omité de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R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endición de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uentas al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Ciudadano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de la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U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nidad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T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écnica del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G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abinete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S</w:t>
      </w:r>
      <w:r w:rsidR="00803F1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ocial</w:t>
      </w:r>
    </w:p>
    <w:p w14:paraId="4BD9C767" w14:textId="51548919" w:rsidR="004924F0" w:rsidRPr="007644AC" w:rsidRDefault="004502F1" w:rsidP="007D2553">
      <w:pPr>
        <w:suppressAutoHyphens w:val="0"/>
        <w:spacing w:after="160" w:line="360" w:lineRule="auto"/>
        <w:ind w:left="709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6</w:t>
      </w:r>
      <w:r w:rsidR="00142E1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.3.</w:t>
      </w:r>
      <w:r w:rsidR="007D2553" w:rsidRPr="007644AC">
        <w:rPr>
          <w:rFonts w:ascii="Segoe UI" w:hAnsi="Segoe UI" w:cs="Segoe UI"/>
          <w:sz w:val="22"/>
          <w:szCs w:val="22"/>
        </w:rPr>
        <w:t xml:space="preserve"> 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Ejecución del Plan y Estrategia Comunicacional de Rendición de Cuentas al Ciudadano</w:t>
      </w:r>
    </w:p>
    <w:p w14:paraId="69D77E74" w14:textId="3F132CCA" w:rsidR="00142E13" w:rsidRPr="007644AC" w:rsidRDefault="004502F1" w:rsidP="00142E13">
      <w:pPr>
        <w:suppressAutoHyphens w:val="0"/>
        <w:spacing w:after="160" w:line="360" w:lineRule="auto"/>
        <w:ind w:firstLine="709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6</w:t>
      </w:r>
      <w:r w:rsidR="00142E1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.4.</w:t>
      </w:r>
      <w:r w:rsidR="007D2553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Cronograma de actividades</w:t>
      </w:r>
    </w:p>
    <w:p w14:paraId="5224D0C1" w14:textId="77777777" w:rsidR="00EB0CCE" w:rsidRPr="007644AC" w:rsidRDefault="00EB0CCE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3D366427" w14:textId="77777777" w:rsidR="00EB0CCE" w:rsidRPr="007644AC" w:rsidRDefault="00EB0CCE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6F29E7A6" w14:textId="77777777" w:rsidR="006E76D4" w:rsidRPr="007644AC" w:rsidRDefault="006E76D4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6AAD10A5" w14:textId="77777777" w:rsidR="00EB0CCE" w:rsidRPr="007644AC" w:rsidRDefault="00EB0CCE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67806D77" w14:textId="77777777" w:rsidR="00982E30" w:rsidRPr="007644AC" w:rsidRDefault="00982E30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6DAB279C" w14:textId="77777777" w:rsidR="00982E30" w:rsidRPr="007644AC" w:rsidRDefault="00982E30" w:rsidP="00EB0CCE">
      <w:pPr>
        <w:suppressAutoHyphens w:val="0"/>
        <w:spacing w:after="160" w:line="259" w:lineRule="auto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4BBC4CF0" w14:textId="468540EA" w:rsidR="00EB0CCE" w:rsidRPr="00197D81" w:rsidRDefault="00EB0CCE" w:rsidP="00554672">
      <w:pPr>
        <w:pStyle w:val="Prrafodelista"/>
        <w:numPr>
          <w:ilvl w:val="0"/>
          <w:numId w:val="17"/>
        </w:numPr>
        <w:tabs>
          <w:tab w:val="left" w:pos="4905"/>
        </w:tabs>
        <w:suppressAutoHyphens/>
        <w:spacing w:after="160" w:line="259" w:lineRule="auto"/>
        <w:rPr>
          <w:rFonts w:ascii="Segoe UI" w:eastAsia="Calibri" w:hAnsi="Segoe UI" w:cs="Segoe UI"/>
          <w:b/>
          <w:sz w:val="28"/>
          <w:szCs w:val="28"/>
          <w:lang w:val="es-MX"/>
        </w:rPr>
      </w:pPr>
      <w:r w:rsidRPr="00197D81">
        <w:rPr>
          <w:rFonts w:ascii="Segoe UI" w:eastAsia="Calibri" w:hAnsi="Segoe UI" w:cs="Segoe UI"/>
          <w:b/>
          <w:sz w:val="28"/>
          <w:szCs w:val="28"/>
          <w:lang w:val="es-MX"/>
        </w:rPr>
        <w:lastRenderedPageBreak/>
        <w:t>Introducción.</w:t>
      </w:r>
    </w:p>
    <w:p w14:paraId="1B38A2DD" w14:textId="77777777" w:rsidR="001C75D5" w:rsidRPr="007644AC" w:rsidRDefault="001C75D5" w:rsidP="00554672">
      <w:pPr>
        <w:tabs>
          <w:tab w:val="left" w:pos="4905"/>
        </w:tabs>
        <w:spacing w:after="160" w:line="259" w:lineRule="auto"/>
        <w:contextualSpacing/>
        <w:rPr>
          <w:rFonts w:ascii="Segoe UI" w:eastAsia="Calibri" w:hAnsi="Segoe UI" w:cs="Segoe UI"/>
          <w:b/>
          <w:kern w:val="0"/>
          <w:sz w:val="22"/>
          <w:szCs w:val="22"/>
          <w:lang w:val="es-MX" w:eastAsia="en-US" w:bidi="ar-SA"/>
        </w:rPr>
      </w:pPr>
    </w:p>
    <w:p w14:paraId="06264893" w14:textId="79F5112B" w:rsidR="00336344" w:rsidRPr="007644AC" w:rsidRDefault="00336344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El presente Plan de Rendición de Cuentas al Ciudadano se constituye en un documento orientado a lograr el objetivo de alinear las acciones que propicien y promuevan los mecanismos adecuados para la rendición de cuentas, a fin de garantizar la participación ciudadana, permitiendo el diálogo y la información conjugada a favor de involucrar a la ciudadanía en los procesos articulados por la Unidad Técnica del Gabinete Social de la Presidencia de la República.</w:t>
      </w:r>
    </w:p>
    <w:p w14:paraId="05BAE49B" w14:textId="4883069A" w:rsidR="00336344" w:rsidRPr="007644AC" w:rsidRDefault="00336344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Este documento tiene como fundamentos legales las normas vigentes relativas a la transparencia, la lucha contra la corrupción y el acceso a la información pública, así como los lineamientos plasmados </w:t>
      </w:r>
      <w:r w:rsidR="00DA6C66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en el Decreto N°2991/19 y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el Decreto N</w:t>
      </w:r>
      <w:r w:rsidR="00AF48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°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357,</w:t>
      </w:r>
      <w:r w:rsidR="00D8684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de fecha</w:t>
      </w:r>
      <w:r w:rsidR="00914D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15 de setiembre de 2023.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</w:p>
    <w:p w14:paraId="6DE0C06F" w14:textId="0661A8D3" w:rsidR="00336344" w:rsidRPr="007644AC" w:rsidRDefault="00336344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Como órgano técnico y operativo, responsable de la dirección, administración, ejecución, coordinación y supervisión de las actividades derivadas y dictadas por el Equipo Ejecutivo del Gabinete Social, la Unidad Técnica del Gabinete Social</w:t>
      </w:r>
      <w:r w:rsidR="00AF48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de la Presidencia de la República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ha basado su esfuerzo en instalar una administración pública transparente, que proporcione información de calidad, eficiente, eficaz, y efectiva, utilizando la tecnología con propuestas que generen el valor público esperado.</w:t>
      </w:r>
    </w:p>
    <w:p w14:paraId="197D7BD1" w14:textId="249AE13C" w:rsidR="007A3B31" w:rsidRPr="007644AC" w:rsidRDefault="00336344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La Unidad Técnica del Gabinete Social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A61621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 la Presidencia de la República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promueve constantemente el desarrollo de acciones innovadoras que permiten a la ciudadanía disponer de información, en formato de datos abiertos, </w:t>
      </w:r>
      <w:r w:rsidR="00AF48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respecto a sus fines misionales, orientados hacia la articulación y coordinación de las políticas sociales, con énfasis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en la población más vulnerable</w:t>
      </w:r>
      <w:r w:rsidR="00CF0063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</w:t>
      </w:r>
    </w:p>
    <w:p w14:paraId="53D0DE78" w14:textId="41806634" w:rsidR="00EB0CCE" w:rsidRPr="007644AC" w:rsidRDefault="00336344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La Unidad Técnica del Gabinete Social </w:t>
      </w:r>
      <w:r w:rsidR="00AF48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de la Presidencia de la República,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propone procesos que permitan la continua rendición de cuentas y que propicien espacios de participación ciudadana; para lo cual, establecerá mecanismos que permitan la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lastRenderedPageBreak/>
        <w:t>interacción ciudadana proporcionando información mediante diversos medios de comunicación, y bajo principios de uso de lenguaje claro, comprensible y que responda a las expectativas e intereses de la ciudadanía.</w:t>
      </w:r>
    </w:p>
    <w:p w14:paraId="2296D883" w14:textId="34FC81AC" w:rsidR="00A24FDE" w:rsidRPr="00197D81" w:rsidRDefault="00A24FDE" w:rsidP="00554672">
      <w:pPr>
        <w:pStyle w:val="Prrafodelista"/>
        <w:numPr>
          <w:ilvl w:val="0"/>
          <w:numId w:val="17"/>
        </w:numPr>
        <w:tabs>
          <w:tab w:val="left" w:pos="4905"/>
        </w:tabs>
        <w:suppressAutoHyphens/>
        <w:spacing w:after="160" w:line="360" w:lineRule="auto"/>
        <w:rPr>
          <w:rFonts w:ascii="Segoe UI" w:eastAsia="Calibri" w:hAnsi="Segoe UI" w:cs="Segoe UI"/>
          <w:b/>
          <w:sz w:val="28"/>
          <w:szCs w:val="28"/>
          <w:lang w:val="es-MX"/>
        </w:rPr>
      </w:pPr>
      <w:r w:rsidRPr="00197D81">
        <w:rPr>
          <w:rFonts w:ascii="Segoe UI" w:eastAsia="Calibri" w:hAnsi="Segoe UI" w:cs="Segoe UI"/>
          <w:b/>
          <w:sz w:val="28"/>
          <w:szCs w:val="28"/>
          <w:lang w:val="es-MX"/>
        </w:rPr>
        <w:t>Objeto</w:t>
      </w:r>
    </w:p>
    <w:p w14:paraId="6340885E" w14:textId="651D06C7" w:rsidR="00AF48E4" w:rsidRPr="007644AC" w:rsidRDefault="00AF48E4" w:rsidP="00A61621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Mediante el </w:t>
      </w:r>
      <w:r w:rsidRPr="007644AC">
        <w:rPr>
          <w:rFonts w:ascii="Segoe UI" w:eastAsia="Calibri" w:hAnsi="Segoe UI" w:cs="Segoe UI"/>
          <w:i/>
          <w:sz w:val="22"/>
          <w:szCs w:val="22"/>
          <w:lang w:val="es-MX"/>
        </w:rPr>
        <w:t>Plan de Rendición de Cuentas al Ciudadano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, la Unidad Técnica del Gabinete Social de la Presidencia de la República, busca fomentar y propiciar la transparencia e integridad con la ciudadanía mediante el fortalecimiento, socialización e implementación de las políticas en materia de rendición de cuentas, que se desarrollar</w:t>
      </w:r>
      <w:r w:rsidR="00A61621">
        <w:rPr>
          <w:rFonts w:ascii="Segoe UI" w:eastAsia="Calibri" w:hAnsi="Segoe UI" w:cs="Segoe UI"/>
          <w:sz w:val="22"/>
          <w:szCs w:val="22"/>
          <w:lang w:val="es-MX"/>
        </w:rPr>
        <w:t>á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n a partir del cumplimiento de metas plasmadas en el presente Plan.</w:t>
      </w:r>
    </w:p>
    <w:p w14:paraId="0FFCECFD" w14:textId="566632DC" w:rsidR="00A24FDE" w:rsidRPr="007644AC" w:rsidRDefault="00A24FDE" w:rsidP="00A61621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La rendición de cuentas se constituye en una herramienta favorable para la promoción de la participación ciudadana, para la mejora de la gestión pública, para el control social y la prevención de la corrupción.</w:t>
      </w:r>
    </w:p>
    <w:p w14:paraId="70AC8D23" w14:textId="697624F9" w:rsidR="006316BB" w:rsidRPr="00197D81" w:rsidRDefault="006316BB" w:rsidP="00554672">
      <w:pPr>
        <w:pStyle w:val="Prrafodelista"/>
        <w:numPr>
          <w:ilvl w:val="0"/>
          <w:numId w:val="17"/>
        </w:numPr>
        <w:suppressAutoHyphens/>
        <w:spacing w:after="160" w:line="259" w:lineRule="auto"/>
        <w:rPr>
          <w:rFonts w:ascii="Segoe UI" w:eastAsia="Calibri" w:hAnsi="Segoe UI" w:cs="Segoe UI"/>
          <w:b/>
          <w:sz w:val="28"/>
          <w:szCs w:val="28"/>
          <w:lang w:val="es-MX"/>
        </w:rPr>
      </w:pPr>
      <w:r w:rsidRPr="00197D81">
        <w:rPr>
          <w:rFonts w:ascii="Segoe UI" w:eastAsia="Calibri" w:hAnsi="Segoe UI" w:cs="Segoe UI"/>
          <w:b/>
          <w:sz w:val="28"/>
          <w:szCs w:val="28"/>
          <w:lang w:val="es-MX"/>
        </w:rPr>
        <w:t>Misión</w:t>
      </w:r>
      <w:r w:rsidR="003A5B49" w:rsidRPr="00197D81">
        <w:rPr>
          <w:rFonts w:ascii="Segoe UI" w:eastAsia="Calibri" w:hAnsi="Segoe UI" w:cs="Segoe UI"/>
          <w:b/>
          <w:sz w:val="28"/>
          <w:szCs w:val="28"/>
          <w:lang w:val="es-MX"/>
        </w:rPr>
        <w:t xml:space="preserve"> y Visión</w:t>
      </w:r>
      <w:r w:rsidR="00C247E6" w:rsidRPr="00197D81">
        <w:rPr>
          <w:rFonts w:ascii="Segoe UI" w:eastAsia="Calibri" w:hAnsi="Segoe UI" w:cs="Segoe UI"/>
          <w:b/>
          <w:sz w:val="28"/>
          <w:szCs w:val="28"/>
          <w:lang w:val="es-MX"/>
        </w:rPr>
        <w:t>.</w:t>
      </w:r>
    </w:p>
    <w:p w14:paraId="1B3ECE0D" w14:textId="7269E861" w:rsidR="00FB0170" w:rsidRPr="007644AC" w:rsidRDefault="0097094C" w:rsidP="00554672">
      <w:p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Mediante</w:t>
      </w:r>
      <w:r w:rsidR="007644A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la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Resoluci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ón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UTGS N°</w:t>
      </w:r>
      <w:r w:rsidR="00AF48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E172E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38</w:t>
      </w:r>
      <w:r w:rsidR="00AF48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/202</w:t>
      </w:r>
      <w:r w:rsidR="00E172E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5</w:t>
      </w:r>
      <w:r w:rsidR="007C1F75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, se dispone la </w:t>
      </w:r>
      <w:r w:rsidR="00F8455A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actualización de l</w:t>
      </w:r>
      <w:r w:rsidR="007644A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a Misión, </w:t>
      </w:r>
      <w:r w:rsidR="002D24A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Visión, Principios</w:t>
      </w:r>
      <w:r w:rsidR="00F8455A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y Valores de la Unidad Técnica del Gabinete Social</w:t>
      </w:r>
      <w:r w:rsidR="007644A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de la</w:t>
      </w:r>
      <w:r w:rsidR="00F8455A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Presidencia de la República, en el marco de la Implementación del Modelo Estándar de Control Interno para las Instituciones Públicas</w:t>
      </w:r>
      <w:r w:rsidR="0031253D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F8455A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del Paraguay</w:t>
      </w:r>
      <w:r w:rsidR="0031253D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(MECIP</w:t>
      </w:r>
      <w:r w:rsidR="00FB0170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), la cual cita:</w:t>
      </w:r>
    </w:p>
    <w:p w14:paraId="541A0765" w14:textId="77777777" w:rsidR="00FB0170" w:rsidRPr="007644AC" w:rsidRDefault="00FB0170" w:rsidP="00554672">
      <w:pPr>
        <w:pStyle w:val="Prrafodelista"/>
        <w:numPr>
          <w:ilvl w:val="0"/>
          <w:numId w:val="9"/>
        </w:numPr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u w:val="single"/>
          <w:lang w:val="es-MX"/>
        </w:rPr>
        <w:t>Misión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: </w:t>
      </w:r>
    </w:p>
    <w:p w14:paraId="5658C28C" w14:textId="0434AF90" w:rsidR="007644AC" w:rsidRPr="00197D81" w:rsidRDefault="007644AC" w:rsidP="00554672">
      <w:pPr>
        <w:spacing w:line="240" w:lineRule="atLeast"/>
        <w:contextualSpacing/>
        <w:jc w:val="center"/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"Somos la instancia que impulsa y coordina las políticas públicas implementadas por las instituciones del Gabinete Social, orientadas al desarrollo social del país, colocando a las personas en el centro de nuestras acciones"</w:t>
      </w:r>
      <w:r w:rsidR="00A61621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.</w:t>
      </w:r>
    </w:p>
    <w:p w14:paraId="5106E757" w14:textId="77777777" w:rsidR="007644AC" w:rsidRPr="007644AC" w:rsidRDefault="007644AC" w:rsidP="00554672">
      <w:pPr>
        <w:pStyle w:val="TableParagraph"/>
        <w:suppressAutoHyphens/>
        <w:spacing w:line="240" w:lineRule="atLeast"/>
        <w:ind w:left="4" w:right="117"/>
        <w:jc w:val="center"/>
        <w:rPr>
          <w:rFonts w:ascii="Segoe UI" w:eastAsia="Calibri" w:hAnsi="Segoe UI" w:cs="Segoe UI"/>
          <w:lang w:val="es-MX"/>
        </w:rPr>
      </w:pPr>
    </w:p>
    <w:p w14:paraId="2542B8ED" w14:textId="01989A01" w:rsidR="00FB0170" w:rsidRPr="007644AC" w:rsidRDefault="00FB0170" w:rsidP="00554672">
      <w:pPr>
        <w:pStyle w:val="Prrafodelista"/>
        <w:numPr>
          <w:ilvl w:val="0"/>
          <w:numId w:val="9"/>
        </w:numPr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u w:val="single"/>
          <w:lang w:val="es-MX"/>
        </w:rPr>
        <w:t>Visión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:</w:t>
      </w:r>
    </w:p>
    <w:p w14:paraId="2F479F8E" w14:textId="6404CBE5" w:rsidR="00FB0170" w:rsidRDefault="005D26B7" w:rsidP="00554672">
      <w:pPr>
        <w:spacing w:line="240" w:lineRule="atLeast"/>
        <w:contextualSpacing/>
        <w:jc w:val="center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“</w:t>
      </w:r>
      <w:r w:rsidR="007644AC"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Ser una instancia de coordinación reconocida a nivel nacional e internacional por su liderazgo y excelencia en la gestión, contribuyendo de manera efectiva a la implementación de políticas que promuevan el desarrollo social sostenible"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</w:t>
      </w:r>
    </w:p>
    <w:p w14:paraId="7CF51962" w14:textId="77777777" w:rsidR="00197D81" w:rsidRPr="007644AC" w:rsidRDefault="00197D81" w:rsidP="00554672">
      <w:pPr>
        <w:spacing w:after="160" w:line="360" w:lineRule="auto"/>
        <w:contextualSpacing/>
        <w:jc w:val="center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</w:p>
    <w:p w14:paraId="53F52C81" w14:textId="551BA21E" w:rsidR="002260A9" w:rsidRPr="00197D81" w:rsidRDefault="009F778D" w:rsidP="00554672">
      <w:pPr>
        <w:pStyle w:val="Prrafodelista"/>
        <w:numPr>
          <w:ilvl w:val="0"/>
          <w:numId w:val="17"/>
        </w:numPr>
        <w:tabs>
          <w:tab w:val="left" w:pos="4905"/>
        </w:tabs>
        <w:suppressAutoHyphens/>
        <w:spacing w:after="160" w:line="259" w:lineRule="auto"/>
        <w:rPr>
          <w:rFonts w:ascii="Segoe UI" w:eastAsia="Calibri" w:hAnsi="Segoe UI" w:cs="Segoe UI"/>
          <w:b/>
          <w:sz w:val="28"/>
          <w:szCs w:val="28"/>
          <w:lang w:val="es-MX"/>
        </w:rPr>
      </w:pPr>
      <w:r>
        <w:rPr>
          <w:rFonts w:ascii="Segoe UI" w:eastAsia="Calibri" w:hAnsi="Segoe UI" w:cs="Segoe UI"/>
          <w:b/>
          <w:sz w:val="28"/>
          <w:szCs w:val="28"/>
          <w:lang w:val="es-MX"/>
        </w:rPr>
        <w:lastRenderedPageBreak/>
        <w:t>Marco Normativo</w:t>
      </w:r>
      <w:r w:rsidR="008910C1" w:rsidRPr="00197D81">
        <w:rPr>
          <w:rFonts w:ascii="Segoe UI" w:eastAsia="Calibri" w:hAnsi="Segoe UI" w:cs="Segoe UI"/>
          <w:b/>
          <w:sz w:val="28"/>
          <w:szCs w:val="28"/>
          <w:lang w:val="es-MX"/>
        </w:rPr>
        <w:t xml:space="preserve"> Institucional</w:t>
      </w:r>
      <w:r w:rsidR="00982E30" w:rsidRPr="00197D81">
        <w:rPr>
          <w:rFonts w:ascii="Segoe UI" w:eastAsia="Calibri" w:hAnsi="Segoe UI" w:cs="Segoe UI"/>
          <w:b/>
          <w:sz w:val="28"/>
          <w:szCs w:val="28"/>
          <w:lang w:val="es-MX"/>
        </w:rPr>
        <w:t>.</w:t>
      </w:r>
    </w:p>
    <w:p w14:paraId="4255E855" w14:textId="703D7FA1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El Gabinete Social fue creado en septiembre del año 2003 en virtud de la voluntad del Gobierno Nacional de contar con 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una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instancia de coordinación del más alto nivel, encargada de articular con las Instituciones Públicas aquellos programas dispuestos en el área social para su eficiente y eficaz gestión. Desde entonces, funciona como órgano coordinador de las políticas sociales de Gobierno.</w:t>
      </w:r>
    </w:p>
    <w:p w14:paraId="74BEE05D" w14:textId="77777777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El Gabinete Social es un colegiado de Ministerios e Instituciones Públicas, siendo la instancia rectora, normativa y articuladora de las políticas sociales. Las instituciones que forman parte del mismo, son responsables de ejecutar políticas públicas que garantizan derechos a la ciudadanía y contribuyen al desarrollo socioeconómico del país, mediante la definición de la agenda social, estableciendo las prioridades en materia de desarrollo y protección social. Está liderado por el Excmo. Sr. Presidente de la República, Santiago Peña Palacios.</w:t>
      </w:r>
    </w:p>
    <w:p w14:paraId="59B247AB" w14:textId="77777777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El Gabinete Social se organiza internamente a través de un Coordinador General y Jefe del Gabinete Social, ejercido por el Ministro de Desarrollo Social, cuenta con un Equipo Ejecutivo, así como con una Unidad Técnica.</w:t>
      </w:r>
    </w:p>
    <w:p w14:paraId="27745CF0" w14:textId="3FA6CF1F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La Unidad Técnica del Gabinete Social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A61621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 la Presidencia de la República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fue creada en el año 2009, se constituye en el órgano técnico y operativo, responsable de la dirección, administración, ejecución, coordinación y supervisión de las actividades derivadas y dictadas del Gabinete Social.</w:t>
      </w:r>
    </w:p>
    <w:p w14:paraId="361E39A8" w14:textId="77777777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Está a cargo de una Dirección Ejecutiva, responsable de la gestión institucional, que impulsa la cultura de la mejora continua, la eficacia y eficiencia, promoviendo la excelencia en la atención y prestación de servicios de la Unidad.</w:t>
      </w:r>
    </w:p>
    <w:p w14:paraId="4096AD09" w14:textId="77777777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Actualmente, a nivel orgánico estructural, el Gabinete Social, así como la Unidad Técnica (UTGS), se regulan por el Decreto N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°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357, de fecha 15 de setiembre de 2023.</w:t>
      </w:r>
    </w:p>
    <w:p w14:paraId="1BAC16E3" w14:textId="31B7292C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El Gabinete Social, define la agenda social del país, estableciendo las prioridades en materia de desarrollo social y combate a la pobreza y la pobreza extrema. Es el encargado 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lastRenderedPageBreak/>
        <w:t>de mantener en comunicación y coordinación a las instituciones del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gobierno para concretar una visión y acción articulada para que las políticas sociales, mejoren la calidad y las condiciones de vida de toda la ciudadanía.</w:t>
      </w:r>
    </w:p>
    <w:p w14:paraId="48B8952D" w14:textId="3F8BEE31" w:rsidR="00197D81" w:rsidRP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Cabe mencionar que, con la declaración de interés nacional y la disposición de </w:t>
      </w:r>
      <w:r w:rsidRPr="00CF0063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implementación del Sistema de Protección Social del Paraguay, a través del Decreto N</w:t>
      </w:r>
      <w:r w:rsidRPr="00CF0063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°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4775/2021, la Unidad Técnica del Gabinete Social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A61621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 la Presidencia de la República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, es responsable de llevar adelante las acciones tendientes a cumplir con dicho objetivo. En tal sentido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,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la institución ha avanzado en sus acciones mediante actividades de articulación multisectorial, como ser a través de la gestión de convocatorias, instalando las Mesas de Protección Social a nivel nacional y subnacional, impulsando la firma de convenios interinstitucionales con distritos para la implementación del Sistema de Protección Social, elaborando los Planes de Acción Territorial, entre otros.</w:t>
      </w:r>
    </w:p>
    <w:p w14:paraId="0D1377BD" w14:textId="3504BF62" w:rsidR="00197D81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Así también, en virtud del Decreto N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°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804, de fecha 06 de diciembre de 2023, 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“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Por el cual se reestructura el Sistema Integrado de Información 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S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ocial (SIIS) para la adecuada implementación de los programas y proyectos sociales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”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, la Unidad Técnica del Gabinete Social de la Presidencia de la República (UTGS), es el órgano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encargado del diseño, administración e implementación y fortalecimiento del Sistema Integrado de Información Social (SIIS)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”.</w:t>
      </w:r>
    </w:p>
    <w:p w14:paraId="7FDE0F88" w14:textId="6069C90D" w:rsidR="002260A9" w:rsidRPr="007644AC" w:rsidRDefault="00197D81" w:rsidP="00554672">
      <w:pPr>
        <w:tabs>
          <w:tab w:val="left" w:pos="4905"/>
        </w:tabs>
        <w:spacing w:after="160" w:line="360" w:lineRule="auto"/>
        <w:contextualSpacing/>
        <w:jc w:val="both"/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</w:pP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La Unidad 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T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écnica del Gabinete Social</w:t>
      </w:r>
      <w:r w:rsidR="00A61621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A61621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 la Presidencia de la República</w:t>
      </w:r>
      <w:r w:rsidRPr="00197D81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, trabaja en articular y coordinar la Agenda y la Política Social del Gobierno Nacional, definida en el ámbito del Gabinete Social.</w:t>
      </w:r>
    </w:p>
    <w:p w14:paraId="64E0C6DF" w14:textId="77777777" w:rsidR="000C6F06" w:rsidRPr="00197D81" w:rsidRDefault="00EB0CCE" w:rsidP="00554672">
      <w:pPr>
        <w:numPr>
          <w:ilvl w:val="0"/>
          <w:numId w:val="17"/>
        </w:numPr>
        <w:tabs>
          <w:tab w:val="left" w:pos="4905"/>
        </w:tabs>
        <w:spacing w:after="160" w:line="360" w:lineRule="auto"/>
        <w:contextualSpacing/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</w:pPr>
      <w:r w:rsidRPr="00197D81"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  <w:t xml:space="preserve">Marco Legal de Transparencia y </w:t>
      </w:r>
      <w:r w:rsidR="00150269" w:rsidRPr="00197D81"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  <w:t>Rendición de Cuentas.</w:t>
      </w:r>
      <w:bookmarkStart w:id="0" w:name="_Hlk158976335"/>
    </w:p>
    <w:p w14:paraId="63E92905" w14:textId="1E3A34A7" w:rsidR="00EB0CCE" w:rsidRPr="007644AC" w:rsidRDefault="00EB0CCE" w:rsidP="00554672">
      <w:pPr>
        <w:tabs>
          <w:tab w:val="left" w:pos="4905"/>
        </w:tabs>
        <w:spacing w:after="160" w:line="360" w:lineRule="auto"/>
        <w:contextualSpacing/>
        <w:rPr>
          <w:rFonts w:ascii="Segoe UI" w:eastAsia="Calibri" w:hAnsi="Segoe UI" w:cs="Segoe UI"/>
          <w:b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En este punto, se desarrolla el marco normativo concerniente a la Transparencia y </w:t>
      </w:r>
      <w:r w:rsidR="00487A6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Rendición de Cuentas al Ciudadano</w:t>
      </w:r>
      <w:bookmarkEnd w:id="0"/>
      <w:r w:rsidR="00487A6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</w:t>
      </w:r>
    </w:p>
    <w:p w14:paraId="02D79D15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Constitución de la República del Paraguay, del 20 de junio de 1992.</w:t>
      </w:r>
    </w:p>
    <w:p w14:paraId="24B1D033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Convención Interamericana contra la Corrupción.</w:t>
      </w:r>
    </w:p>
    <w:p w14:paraId="548CF664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Convención de las Naciones Unidas contra la Corrupción.</w:t>
      </w:r>
    </w:p>
    <w:p w14:paraId="3ED53E35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lastRenderedPageBreak/>
        <w:t>Ley N° 1535/1999 "</w:t>
      </w:r>
      <w:r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De Administración Financiera del Estado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". </w:t>
      </w:r>
    </w:p>
    <w:p w14:paraId="1668BDDA" w14:textId="36F6B5E1" w:rsidR="006B27E7" w:rsidRPr="006B27E7" w:rsidRDefault="006B27E7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Ley N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º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7445/2025 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“D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e la Función Pública y del Servicio Civil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”.</w:t>
      </w:r>
    </w:p>
    <w:p w14:paraId="27B4E8DE" w14:textId="7D0B45FE" w:rsidR="006B27E7" w:rsidRPr="006B27E7" w:rsidRDefault="006B27E7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Ley N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°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7389/2</w:t>
      </w:r>
      <w:r w:rsidR="0028272E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02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4 </w:t>
      </w:r>
      <w:r w:rsidRPr="006B27E7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“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Que establece el Régimen Nacional de Integridad Pública, 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T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ransparencia y Pre</w:t>
      </w:r>
      <w:r w:rsidRPr="006B27E7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v</w:t>
      </w:r>
      <w:r w:rsidRPr="006B27E7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ención de la Corrupción de la República del Paraguay</w:t>
      </w:r>
      <w:r w:rsidR="0028272E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”.</w:t>
      </w:r>
    </w:p>
    <w:p w14:paraId="0EAEAEFD" w14:textId="40A527E0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Ley N° 5189/2014 "</w:t>
      </w:r>
      <w:r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Que Establece la Obligatoriedad de la Provisión de Informaciones en el Uso de los Recursos Públicos sobre Remuneraciones y otras Retribuciones asignadas al Servidor Público de la República del Paraguay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".</w:t>
      </w:r>
    </w:p>
    <w:p w14:paraId="5E7BD39C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Ley N° 5282/2014 "</w:t>
      </w:r>
      <w:r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De Libre Acceso Ciudadano a la Información Pública y Transparencia Gubernamental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".</w:t>
      </w:r>
    </w:p>
    <w:p w14:paraId="60CDDA46" w14:textId="42D02E05" w:rsidR="00EB0CCE" w:rsidRPr="00CF0063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CF0063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Decreto N° 962/2008 "</w:t>
      </w:r>
      <w:r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 xml:space="preserve">Por el cual se modifica el Título VII del decreto No. 8.127 del 30 de marzo del 2000 </w:t>
      </w:r>
      <w:r w:rsidR="00CF0063"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“</w:t>
      </w:r>
      <w:r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 xml:space="preserve">por el cual se establecen las disposiciones legales y administrativas que reglamentan la implementación de la Ley </w:t>
      </w:r>
      <w:r w:rsidR="0028272E"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N</w:t>
      </w:r>
      <w:r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o 1.535/</w:t>
      </w:r>
      <w:r w:rsidR="0028272E"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19</w:t>
      </w:r>
      <w:r w:rsidRPr="00CF0063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99 De Administración Financiera del Estado y el funcionamiento del Sistema Integrado de Administración Financiera (SIAF)</w:t>
      </w:r>
      <w:r w:rsidRPr="00CF0063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".</w:t>
      </w:r>
    </w:p>
    <w:p w14:paraId="543BA524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Decreto N° 4900/2016 "</w:t>
      </w:r>
      <w:r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Por el cual se aprueba el Plan Nacional de Prevención de la Corrupción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".</w:t>
      </w:r>
    </w:p>
    <w:p w14:paraId="56708C4D" w14:textId="7F5D7765" w:rsidR="001D4C40" w:rsidRPr="007644AC" w:rsidRDefault="001D4C40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Decreto 2991/</w:t>
      </w:r>
      <w:r w:rsidR="0028272E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2019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“</w:t>
      </w:r>
      <w:r w:rsidR="002D3824"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Por el cual se aprueba el «Manual de rendición de cuentas al ciudadano», se lo declara de interés nacional y se dispone su aplicación obligatoria en las instituciones del Poder Ejecutivo</w:t>
      </w:r>
      <w:r w:rsidR="002D382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”.</w:t>
      </w:r>
    </w:p>
    <w:p w14:paraId="6EB82460" w14:textId="77777777" w:rsidR="00EB0CCE" w:rsidRPr="007644AC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Decreto N° 4458/2021 “</w:t>
      </w:r>
      <w:r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Por el cual se dispone la implementación del Plan Nacional de Integridad, Transparencia y Anticorrupción (PNI 2021-2025), correspondiente al periodo fiscal comprendido entre los Ejercicios 2021 - 2025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”.</w:t>
      </w:r>
    </w:p>
    <w:p w14:paraId="6C5BF227" w14:textId="363CE5A0" w:rsidR="00141ABB" w:rsidRPr="00CA50F5" w:rsidRDefault="00EB0CCE" w:rsidP="00554672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CA50F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Resolución </w:t>
      </w:r>
      <w:r w:rsidR="00CA50F5" w:rsidRPr="00CA50F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CGR N° 1306/2024</w:t>
      </w:r>
      <w:r w:rsidRPr="00CA50F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, “</w:t>
      </w:r>
      <w:r w:rsidR="00CA50F5" w:rsidRP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Por la cual se aprueba el Reglamento de la Ley N° 7389/</w:t>
      </w:r>
      <w:proofErr w:type="gramStart"/>
      <w:r w:rsidR="00CA50F5" w:rsidRP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2</w:t>
      </w:r>
      <w:r w:rsidR="0028272E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024</w:t>
      </w:r>
      <w:r w:rsidR="00CA50F5" w:rsidRP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 xml:space="preserve">  “</w:t>
      </w:r>
      <w:proofErr w:type="gramEnd"/>
      <w:r w:rsidR="00CA50F5" w:rsidRP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 xml:space="preserve">Que establece el régimen nacional de integridad, transparencia y prevención de la corrupción de la </w:t>
      </w:r>
      <w:r w:rsid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R</w:t>
      </w:r>
      <w:r w:rsidR="00CA50F5" w:rsidRP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 xml:space="preserve">epública del </w:t>
      </w:r>
      <w:r w:rsid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P</w:t>
      </w:r>
      <w:r w:rsidR="00CA50F5" w:rsidRPr="00CA50F5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araguay</w:t>
      </w:r>
      <w:r w:rsidR="0028272E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”.</w:t>
      </w:r>
    </w:p>
    <w:p w14:paraId="4B03D685" w14:textId="77777777" w:rsidR="00087A65" w:rsidRPr="007644AC" w:rsidRDefault="00087A65" w:rsidP="00554672">
      <w:pPr>
        <w:spacing w:after="160" w:line="360" w:lineRule="auto"/>
        <w:contextualSpacing/>
        <w:jc w:val="both"/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</w:pPr>
    </w:p>
    <w:p w14:paraId="39FCCF13" w14:textId="1A7A9C52" w:rsidR="00087A65" w:rsidRDefault="00087A65" w:rsidP="00554672">
      <w:pPr>
        <w:spacing w:after="160" w:line="360" w:lineRule="auto"/>
        <w:contextualSpacing/>
        <w:jc w:val="both"/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</w:pPr>
    </w:p>
    <w:p w14:paraId="6CCBBA92" w14:textId="77777777" w:rsidR="00413518" w:rsidRPr="007644AC" w:rsidRDefault="00413518" w:rsidP="00554672">
      <w:pPr>
        <w:spacing w:after="160" w:line="360" w:lineRule="auto"/>
        <w:contextualSpacing/>
        <w:jc w:val="both"/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</w:pPr>
    </w:p>
    <w:p w14:paraId="5E47A1F9" w14:textId="77777777" w:rsidR="00087A65" w:rsidRPr="007644AC" w:rsidRDefault="00087A65" w:rsidP="00554672">
      <w:pPr>
        <w:spacing w:after="160" w:line="360" w:lineRule="auto"/>
        <w:contextualSpacing/>
        <w:jc w:val="both"/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</w:pPr>
    </w:p>
    <w:p w14:paraId="60FF561B" w14:textId="0A5E370C" w:rsidR="00F53B45" w:rsidRPr="00CA50F5" w:rsidRDefault="00F53B45" w:rsidP="00554672">
      <w:pPr>
        <w:numPr>
          <w:ilvl w:val="0"/>
          <w:numId w:val="17"/>
        </w:numPr>
        <w:tabs>
          <w:tab w:val="left" w:pos="4905"/>
        </w:tabs>
        <w:spacing w:after="160" w:line="360" w:lineRule="auto"/>
        <w:contextualSpacing/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</w:pPr>
      <w:r w:rsidRPr="00CA50F5">
        <w:rPr>
          <w:rFonts w:ascii="Segoe UI" w:eastAsia="Calibri" w:hAnsi="Segoe UI" w:cs="Segoe UI"/>
          <w:b/>
          <w:kern w:val="0"/>
          <w:sz w:val="28"/>
          <w:szCs w:val="28"/>
          <w:lang w:val="es-MX" w:eastAsia="en-US" w:bidi="ar-SA"/>
        </w:rPr>
        <w:t>Plan de Rendición de Cuentas al Ciudadano.</w:t>
      </w:r>
    </w:p>
    <w:p w14:paraId="2AFAC087" w14:textId="6E0022F6" w:rsidR="00F53B45" w:rsidRPr="007644AC" w:rsidRDefault="00F53B4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En el marco del Decreto Nº 2991</w:t>
      </w:r>
      <w:r w:rsidR="005B2B4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, de fecha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6 de  diciembre  de  2019</w:t>
      </w:r>
      <w:r w:rsidR="005B2B4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,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 "</w:t>
      </w:r>
      <w:r w:rsidR="005B2B4B" w:rsidRPr="007644AC">
        <w:rPr>
          <w:rFonts w:ascii="Segoe UI" w:eastAsia="Calibri" w:hAnsi="Segoe UI" w:cs="Segoe UI"/>
          <w:i/>
          <w:iCs/>
          <w:kern w:val="0"/>
          <w:sz w:val="22"/>
          <w:szCs w:val="22"/>
          <w:lang w:val="es-MX" w:eastAsia="en-US" w:bidi="ar-SA"/>
        </w:rPr>
        <w:t>Por el cual se aprueba el Manual de Rendición de Cuentas al Ciudadano, se lo declara de interés y se dispone su aplicación obligatoria en las instituciones del Poder Ejecutivo</w:t>
      </w:r>
      <w:r w:rsidR="005B2B4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”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, la</w:t>
      </w:r>
      <w:r w:rsidR="005B2B4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Unidad Técnica del Gabinete Social</w:t>
      </w:r>
      <w:r w:rsidR="00CA50F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de la Presidencia de la República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, a través del Comité de Rendición de Cuentas al Ciudadano y en coordinación con la Unidad de Anticorrupción </w:t>
      </w:r>
      <w:r w:rsidR="005B2B4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 Integridad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(</w:t>
      </w:r>
      <w:r w:rsidR="005B2B4B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AEI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), </w:t>
      </w:r>
      <w:r w:rsidR="00761D5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rinde cuentas a la ciudadanía respecto a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su gestión de manera sencilla, clara, transparente, continua y permanente.</w:t>
      </w:r>
    </w:p>
    <w:p w14:paraId="3188ABA7" w14:textId="55333EA4" w:rsidR="0085235B" w:rsidRPr="00CA50F5" w:rsidRDefault="00CA50F5" w:rsidP="00554672">
      <w:pPr>
        <w:pStyle w:val="Prrafodelista"/>
        <w:numPr>
          <w:ilvl w:val="1"/>
          <w:numId w:val="17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b/>
          <w:bCs/>
          <w:lang w:val="es-MX"/>
        </w:rPr>
      </w:pPr>
      <w:r w:rsidRPr="00CA50F5">
        <w:rPr>
          <w:rFonts w:ascii="Segoe UI" w:eastAsia="Calibri" w:hAnsi="Segoe UI" w:cs="Segoe UI"/>
          <w:b/>
          <w:bCs/>
          <w:lang w:val="es-MX"/>
        </w:rPr>
        <w:t>Conformación del Comité de Rendición de Cuentas de la Unidad Técnica del Gabinete Social de la Presidencia de la República.</w:t>
      </w:r>
    </w:p>
    <w:p w14:paraId="0E28375A" w14:textId="62E5CA39" w:rsidR="005B2B4B" w:rsidRPr="007644AC" w:rsidRDefault="000D574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En este contexto, e</w:t>
      </w:r>
      <w:r w:rsidR="00B921F8" w:rsidRPr="007644AC">
        <w:rPr>
          <w:rFonts w:ascii="Segoe UI" w:eastAsia="Calibri" w:hAnsi="Segoe UI" w:cs="Segoe UI"/>
          <w:sz w:val="22"/>
          <w:szCs w:val="22"/>
          <w:lang w:val="es-MX"/>
        </w:rPr>
        <w:t>l Comi</w:t>
      </w:r>
      <w:r w:rsidR="00C31798" w:rsidRPr="007644AC">
        <w:rPr>
          <w:rFonts w:ascii="Segoe UI" w:eastAsia="Calibri" w:hAnsi="Segoe UI" w:cs="Segoe UI"/>
          <w:sz w:val="22"/>
          <w:szCs w:val="22"/>
          <w:lang w:val="es-MX"/>
        </w:rPr>
        <w:t>té</w:t>
      </w:r>
      <w:r w:rsidR="00B921F8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Rendic</w:t>
      </w:r>
      <w:r w:rsidR="00C31798" w:rsidRPr="007644AC">
        <w:rPr>
          <w:rFonts w:ascii="Segoe UI" w:eastAsia="Calibri" w:hAnsi="Segoe UI" w:cs="Segoe UI"/>
          <w:sz w:val="22"/>
          <w:szCs w:val="22"/>
          <w:lang w:val="es-MX"/>
        </w:rPr>
        <w:t>ió</w:t>
      </w:r>
      <w:r w:rsidR="00B921F8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 de Cuentas 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de la Unidad Técnica del Gabinete Social, se </w:t>
      </w:r>
      <w:r w:rsidR="00B921F8" w:rsidRPr="007644AC">
        <w:rPr>
          <w:rFonts w:ascii="Segoe UI" w:eastAsia="Calibri" w:hAnsi="Segoe UI" w:cs="Segoe UI"/>
          <w:sz w:val="22"/>
          <w:szCs w:val="22"/>
          <w:lang w:val="es-MX"/>
        </w:rPr>
        <w:t>confor</w:t>
      </w:r>
      <w:r w:rsidR="006839A6" w:rsidRPr="007644AC">
        <w:rPr>
          <w:rFonts w:ascii="Segoe UI" w:eastAsia="Calibri" w:hAnsi="Segoe UI" w:cs="Segoe UI"/>
          <w:sz w:val="22"/>
          <w:szCs w:val="22"/>
          <w:lang w:val="es-MX"/>
        </w:rPr>
        <w:t>m</w:t>
      </w:r>
      <w:r w:rsidR="00C31798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a </w:t>
      </w:r>
      <w:r w:rsidR="00B921F8" w:rsidRPr="007644AC">
        <w:rPr>
          <w:rFonts w:ascii="Segoe UI" w:eastAsia="Calibri" w:hAnsi="Segoe UI" w:cs="Segoe UI"/>
          <w:sz w:val="22"/>
          <w:szCs w:val="22"/>
          <w:lang w:val="es-MX"/>
        </w:rPr>
        <w:t>mediante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Resolución UTGS</w:t>
      </w:r>
      <w:r w:rsidR="0028272E">
        <w:rPr>
          <w:rFonts w:ascii="Segoe UI" w:eastAsia="Calibri" w:hAnsi="Segoe UI" w:cs="Segoe UI"/>
          <w:sz w:val="22"/>
          <w:szCs w:val="22"/>
          <w:lang w:val="es-MX"/>
        </w:rPr>
        <w:t>/DE N°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E1224D">
        <w:rPr>
          <w:rFonts w:ascii="Segoe UI" w:eastAsia="Calibri" w:hAnsi="Segoe UI" w:cs="Segoe UI"/>
          <w:sz w:val="22"/>
          <w:szCs w:val="22"/>
          <w:lang w:val="es-MX"/>
        </w:rPr>
        <w:t>03</w:t>
      </w:r>
      <w:r w:rsidR="00371B65">
        <w:rPr>
          <w:rFonts w:ascii="Segoe UI" w:eastAsia="Calibri" w:hAnsi="Segoe UI" w:cs="Segoe UI"/>
          <w:sz w:val="22"/>
          <w:szCs w:val="22"/>
          <w:lang w:val="es-MX"/>
        </w:rPr>
        <w:t>/202</w:t>
      </w:r>
      <w:r w:rsidR="00E1224D">
        <w:rPr>
          <w:rFonts w:ascii="Segoe UI" w:eastAsia="Calibri" w:hAnsi="Segoe UI" w:cs="Segoe UI"/>
          <w:sz w:val="22"/>
          <w:szCs w:val="22"/>
          <w:lang w:val="es-MX"/>
        </w:rPr>
        <w:t>6</w:t>
      </w:r>
      <w:r w:rsidR="00890F81" w:rsidRPr="007644AC">
        <w:rPr>
          <w:rFonts w:ascii="Segoe UI" w:eastAsia="Calibri" w:hAnsi="Segoe UI" w:cs="Segoe UI"/>
          <w:sz w:val="22"/>
          <w:szCs w:val="22"/>
          <w:lang w:val="es-MX"/>
        </w:rPr>
        <w:t>,</w:t>
      </w:r>
      <w:r w:rsidR="000E36B8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y </w:t>
      </w:r>
      <w:r w:rsidR="00915909" w:rsidRPr="007644AC">
        <w:rPr>
          <w:rFonts w:ascii="Segoe UI" w:eastAsia="Calibri" w:hAnsi="Segoe UI" w:cs="Segoe UI"/>
          <w:sz w:val="22"/>
          <w:szCs w:val="22"/>
          <w:lang w:val="es-MX"/>
        </w:rPr>
        <w:t>queda i</w:t>
      </w:r>
      <w:r w:rsidR="006C1968" w:rsidRPr="007644AC">
        <w:rPr>
          <w:rFonts w:ascii="Segoe UI" w:eastAsia="Calibri" w:hAnsi="Segoe UI" w:cs="Segoe UI"/>
          <w:sz w:val="22"/>
          <w:szCs w:val="22"/>
          <w:lang w:val="es-MX"/>
        </w:rPr>
        <w:t>ntegrado por las siguientes dependencias institucionales:</w:t>
      </w:r>
    </w:p>
    <w:p w14:paraId="63786D18" w14:textId="77777777" w:rsidR="00371B65" w:rsidRPr="00371B65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>a) Unidad de Anticorrupción e Integridad (Coordinadora)</w:t>
      </w:r>
    </w:p>
    <w:p w14:paraId="1DFE11EE" w14:textId="77777777" w:rsidR="00371B65" w:rsidRPr="00371B65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b) Secretaría General</w:t>
      </w:r>
    </w:p>
    <w:p w14:paraId="370293A1" w14:textId="77777777" w:rsidR="00371B65" w:rsidRPr="00371B65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c) Asesoría Jurídica</w:t>
      </w:r>
    </w:p>
    <w:p w14:paraId="78E65BDB" w14:textId="77777777" w:rsidR="00371B65" w:rsidRPr="00371B65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d) Auditoría Interna</w:t>
      </w:r>
    </w:p>
    <w:p w14:paraId="385ECEA1" w14:textId="77777777" w:rsidR="00371B65" w:rsidRPr="00371B65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e) Coordinación de Administración y Finanzas</w:t>
      </w:r>
    </w:p>
    <w:p w14:paraId="6632C34F" w14:textId="0592C1DE" w:rsidR="00371B65" w:rsidRPr="00371B65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f) Coordinación y Articulación Interinstitucional</w:t>
      </w:r>
    </w:p>
    <w:p w14:paraId="3B0A72C5" w14:textId="527677FC" w:rsidR="00C3498A" w:rsidRDefault="00371B65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371B65">
        <w:rPr>
          <w:rFonts w:ascii="Segoe UI" w:eastAsia="Calibri" w:hAnsi="Segoe UI" w:cs="Segoe UI" w:hint="eastAsia"/>
          <w:kern w:val="0"/>
          <w:sz w:val="22"/>
          <w:szCs w:val="22"/>
          <w:lang w:val="es-MX" w:eastAsia="en-US" w:bidi="ar-SA"/>
        </w:rPr>
        <w:t xml:space="preserve"> g) Coordinación de Información Socia</w:t>
      </w: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l</w:t>
      </w:r>
    </w:p>
    <w:p w14:paraId="25E5D76A" w14:textId="539FBE5D" w:rsidR="00E1224D" w:rsidRPr="007644AC" w:rsidRDefault="00E1224D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h) Encargada/o de Despacho del Área de Planificación Estratégica de Protección Social.</w:t>
      </w:r>
    </w:p>
    <w:p w14:paraId="2A8FC54D" w14:textId="17C0DD25" w:rsidR="00B15ED2" w:rsidRPr="00371B65" w:rsidRDefault="00371B65" w:rsidP="00554672">
      <w:pPr>
        <w:pStyle w:val="Prrafodelista"/>
        <w:numPr>
          <w:ilvl w:val="1"/>
          <w:numId w:val="17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b/>
          <w:bCs/>
          <w:lang w:val="es-MX"/>
        </w:rPr>
      </w:pPr>
      <w:r w:rsidRPr="00371B65">
        <w:rPr>
          <w:rFonts w:ascii="Segoe UI" w:eastAsia="Calibri" w:hAnsi="Segoe UI" w:cs="Segoe UI"/>
          <w:b/>
          <w:bCs/>
          <w:lang w:val="es-MX"/>
        </w:rPr>
        <w:lastRenderedPageBreak/>
        <w:t xml:space="preserve">Funciones </w:t>
      </w:r>
      <w:r w:rsidR="0028272E"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el Comité </w:t>
      </w:r>
      <w:r w:rsidR="0028272E"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 Rendición </w:t>
      </w:r>
      <w:r w:rsidR="0028272E"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 Cuentas </w:t>
      </w:r>
      <w:r w:rsidR="0028272E">
        <w:rPr>
          <w:rFonts w:ascii="Segoe UI" w:eastAsia="Calibri" w:hAnsi="Segoe UI" w:cs="Segoe UI"/>
          <w:b/>
          <w:bCs/>
          <w:lang w:val="es-MX"/>
        </w:rPr>
        <w:t>a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l Ciudadano </w:t>
      </w:r>
      <w:r w:rsidR="0028272E"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 </w:t>
      </w:r>
      <w:r w:rsidR="0028272E">
        <w:rPr>
          <w:rFonts w:ascii="Segoe UI" w:eastAsia="Calibri" w:hAnsi="Segoe UI" w:cs="Segoe UI"/>
          <w:b/>
          <w:bCs/>
          <w:lang w:val="es-MX"/>
        </w:rPr>
        <w:t>l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a Unidad Técnica </w:t>
      </w:r>
      <w:r w:rsidR="0028272E"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>el Gabinete Social</w:t>
      </w:r>
      <w:r w:rsidR="0028272E">
        <w:rPr>
          <w:rFonts w:ascii="Segoe UI" w:eastAsia="Calibri" w:hAnsi="Segoe UI" w:cs="Segoe UI"/>
          <w:b/>
          <w:bCs/>
          <w:lang w:val="es-MX"/>
        </w:rPr>
        <w:t xml:space="preserve"> de la Presidencia de la República.</w:t>
      </w:r>
    </w:p>
    <w:p w14:paraId="405BC8CD" w14:textId="0F2EA15B" w:rsidR="0081347F" w:rsidRPr="007644AC" w:rsidRDefault="00857D3B" w:rsidP="00554672">
      <w:pPr>
        <w:tabs>
          <w:tab w:val="left" w:pos="4905"/>
        </w:tabs>
        <w:spacing w:after="160" w:line="360" w:lineRule="auto"/>
        <w:ind w:left="360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En el marco de sus funciones, y conforme lo establece el artículo 2° de la Resolución UTGS</w:t>
      </w:r>
      <w:r w:rsidR="0028272E">
        <w:rPr>
          <w:rFonts w:ascii="Segoe UI" w:eastAsia="Calibri" w:hAnsi="Segoe UI" w:cs="Segoe UI"/>
          <w:sz w:val="22"/>
          <w:szCs w:val="22"/>
          <w:lang w:val="es-MX"/>
        </w:rPr>
        <w:t>/DE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N°</w:t>
      </w:r>
      <w:r w:rsidR="00371B65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0B6327">
        <w:rPr>
          <w:rFonts w:ascii="Segoe UI" w:eastAsia="Calibri" w:hAnsi="Segoe UI" w:cs="Segoe UI"/>
          <w:sz w:val="22"/>
          <w:szCs w:val="22"/>
          <w:lang w:val="es-MX"/>
        </w:rPr>
        <w:t>03</w:t>
      </w:r>
      <w:r w:rsidR="00371B65">
        <w:rPr>
          <w:rFonts w:ascii="Segoe UI" w:eastAsia="Calibri" w:hAnsi="Segoe UI" w:cs="Segoe UI"/>
          <w:sz w:val="22"/>
          <w:szCs w:val="22"/>
          <w:lang w:val="es-MX"/>
        </w:rPr>
        <w:t>/202</w:t>
      </w:r>
      <w:r w:rsidR="000B6327">
        <w:rPr>
          <w:rFonts w:ascii="Segoe UI" w:eastAsia="Calibri" w:hAnsi="Segoe UI" w:cs="Segoe UI"/>
          <w:sz w:val="22"/>
          <w:szCs w:val="22"/>
          <w:lang w:val="es-MX"/>
        </w:rPr>
        <w:t>6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mencionada precedentemente, </w:t>
      </w:r>
      <w:r w:rsidR="00323D41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el </w:t>
      </w:r>
      <w:r w:rsidR="002B7150" w:rsidRPr="007644AC">
        <w:rPr>
          <w:rFonts w:ascii="Segoe UI" w:eastAsia="Calibri" w:hAnsi="Segoe UI" w:cs="Segoe UI"/>
          <w:sz w:val="22"/>
          <w:szCs w:val="22"/>
          <w:lang w:val="es-MX"/>
        </w:rPr>
        <w:t>Comité</w:t>
      </w:r>
      <w:r w:rsidR="00323D41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Rendición de</w:t>
      </w:r>
      <w:r w:rsidR="00371B65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323D41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Cuentas de la Unidad Técnica </w:t>
      </w:r>
      <w:r w:rsidR="0011160A" w:rsidRPr="007644AC">
        <w:rPr>
          <w:rFonts w:ascii="Segoe UI" w:eastAsia="Calibri" w:hAnsi="Segoe UI" w:cs="Segoe UI"/>
          <w:sz w:val="22"/>
          <w:szCs w:val="22"/>
          <w:lang w:val="es-MX"/>
        </w:rPr>
        <w:t>del Gabinete Social</w:t>
      </w:r>
      <w:r w:rsidR="00371B65">
        <w:rPr>
          <w:rFonts w:ascii="Segoe UI" w:eastAsia="Calibri" w:hAnsi="Segoe UI" w:cs="Segoe UI"/>
          <w:sz w:val="22"/>
          <w:szCs w:val="22"/>
          <w:lang w:val="es-MX"/>
        </w:rPr>
        <w:t xml:space="preserve"> de la Presidencia de la República</w:t>
      </w:r>
      <w:r w:rsidR="0011160A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, </w:t>
      </w:r>
      <w:r w:rsidR="00E82930">
        <w:rPr>
          <w:rFonts w:ascii="Segoe UI" w:eastAsia="Calibri" w:hAnsi="Segoe UI" w:cs="Segoe UI"/>
          <w:sz w:val="22"/>
          <w:szCs w:val="22"/>
          <w:lang w:val="es-MX"/>
        </w:rPr>
        <w:t>tiene como</w:t>
      </w:r>
      <w:r w:rsidR="00371B65">
        <w:rPr>
          <w:rFonts w:ascii="Segoe UI" w:eastAsia="Calibri" w:hAnsi="Segoe UI" w:cs="Segoe UI"/>
          <w:sz w:val="22"/>
          <w:szCs w:val="22"/>
          <w:lang w:val="es-MX"/>
        </w:rPr>
        <w:t xml:space="preserve"> función</w:t>
      </w:r>
      <w:r w:rsidR="009C216C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A77199" w:rsidRPr="007644AC">
        <w:rPr>
          <w:rFonts w:ascii="Segoe UI" w:eastAsia="Calibri" w:hAnsi="Segoe UI" w:cs="Segoe UI"/>
          <w:sz w:val="22"/>
          <w:szCs w:val="22"/>
          <w:lang w:val="es-MX"/>
        </w:rPr>
        <w:t>principal</w:t>
      </w:r>
      <w:r w:rsidR="00C13F83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9C216C" w:rsidRPr="007644AC">
        <w:rPr>
          <w:rFonts w:ascii="Segoe UI" w:eastAsia="Calibri" w:hAnsi="Segoe UI" w:cs="Segoe UI"/>
          <w:sz w:val="22"/>
          <w:szCs w:val="22"/>
          <w:lang w:val="es-MX"/>
        </w:rPr>
        <w:t>el diseño,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elaboración de la propuesta</w:t>
      </w:r>
      <w:r w:rsidR="009C216C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, monitoreo y evaluación 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>del “</w:t>
      </w:r>
      <w:r w:rsidR="00060C5D" w:rsidRPr="007644AC">
        <w:rPr>
          <w:rFonts w:ascii="Segoe UI" w:eastAsia="Calibri" w:hAnsi="Segoe UI" w:cs="Segoe UI"/>
          <w:i/>
          <w:iCs/>
          <w:sz w:val="22"/>
          <w:szCs w:val="22"/>
          <w:lang w:val="es-MX"/>
        </w:rPr>
        <w:t>Plan Anual de Rendición de Cuentas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” </w:t>
      </w:r>
      <w:r w:rsidR="00C13F83" w:rsidRPr="007644AC">
        <w:rPr>
          <w:rFonts w:ascii="Segoe UI" w:eastAsia="Calibri" w:hAnsi="Segoe UI" w:cs="Segoe UI"/>
          <w:sz w:val="22"/>
          <w:szCs w:val="22"/>
          <w:lang w:val="es-MX"/>
        </w:rPr>
        <w:t>para cada Ejercicio Fiscal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, </w:t>
      </w:r>
      <w:r w:rsidR="009C216C" w:rsidRPr="007644AC">
        <w:rPr>
          <w:rFonts w:ascii="Segoe UI" w:eastAsia="Calibri" w:hAnsi="Segoe UI" w:cs="Segoe UI"/>
          <w:sz w:val="22"/>
          <w:szCs w:val="22"/>
          <w:lang w:val="es-MX"/>
        </w:rPr>
        <w:t>mediante el cual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se defin</w:t>
      </w:r>
      <w:r w:rsidR="00C13F83" w:rsidRPr="007644AC">
        <w:rPr>
          <w:rFonts w:ascii="Segoe UI" w:eastAsia="Calibri" w:hAnsi="Segoe UI" w:cs="Segoe UI"/>
          <w:sz w:val="22"/>
          <w:szCs w:val="22"/>
          <w:lang w:val="es-MX"/>
        </w:rPr>
        <w:t>e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 </w:t>
      </w:r>
      <w:r w:rsidR="00A77199" w:rsidRPr="007644AC">
        <w:rPr>
          <w:rFonts w:ascii="Segoe UI" w:eastAsia="Calibri" w:hAnsi="Segoe UI" w:cs="Segoe UI"/>
          <w:sz w:val="22"/>
          <w:szCs w:val="22"/>
          <w:lang w:val="es-MX"/>
        </w:rPr>
        <w:t>las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actividades y cronogramas</w:t>
      </w:r>
      <w:r w:rsidR="000F4D75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para la efectiva rendición de cuentas. </w:t>
      </w:r>
      <w:r w:rsidR="00F33325" w:rsidRPr="007644AC">
        <w:rPr>
          <w:rFonts w:ascii="Segoe UI" w:eastAsia="Calibri" w:hAnsi="Segoe UI" w:cs="Segoe UI"/>
          <w:sz w:val="22"/>
          <w:szCs w:val="22"/>
          <w:lang w:val="es-MX"/>
        </w:rPr>
        <w:t>Asimismo,</w:t>
      </w:r>
      <w:r w:rsidR="000F4D75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6B07D1" w:rsidRPr="007644AC">
        <w:rPr>
          <w:rFonts w:ascii="Segoe UI" w:eastAsia="Calibri" w:hAnsi="Segoe UI" w:cs="Segoe UI"/>
          <w:sz w:val="22"/>
          <w:szCs w:val="22"/>
          <w:lang w:val="es-MX"/>
        </w:rPr>
        <w:t>impulsa y ejecuta</w:t>
      </w:r>
      <w:r w:rsidR="000F4D75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los pro</w:t>
      </w:r>
      <w:r w:rsidR="006B07D1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cesos </w:t>
      </w:r>
      <w:r w:rsidR="00F33325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en torno a 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>la elaboración de los informes parciales e informe final, para presentación y posterior aprobac</w:t>
      </w:r>
      <w:r w:rsidR="0011160A" w:rsidRPr="007644AC">
        <w:rPr>
          <w:rFonts w:ascii="Segoe UI" w:eastAsia="Calibri" w:hAnsi="Segoe UI" w:cs="Segoe UI"/>
          <w:sz w:val="22"/>
          <w:szCs w:val="22"/>
          <w:lang w:val="es-MX"/>
        </w:rPr>
        <w:t>ió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 de la </w:t>
      </w:r>
      <w:r w:rsidR="0011160A" w:rsidRPr="007644AC">
        <w:rPr>
          <w:rFonts w:ascii="Segoe UI" w:eastAsia="Calibri" w:hAnsi="Segoe UI" w:cs="Segoe UI"/>
          <w:sz w:val="22"/>
          <w:szCs w:val="22"/>
          <w:lang w:val="es-MX"/>
        </w:rPr>
        <w:t>Máx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>ima Autoridad</w:t>
      </w:r>
      <w:r w:rsidR="002F00ED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E82930">
        <w:rPr>
          <w:rFonts w:ascii="Segoe UI" w:eastAsia="Calibri" w:hAnsi="Segoe UI" w:cs="Segoe UI"/>
          <w:sz w:val="22"/>
          <w:szCs w:val="22"/>
          <w:lang w:val="es-MX"/>
        </w:rPr>
        <w:t>I</w:t>
      </w:r>
      <w:r w:rsidR="002F00ED" w:rsidRPr="007644AC">
        <w:rPr>
          <w:rFonts w:ascii="Segoe UI" w:eastAsia="Calibri" w:hAnsi="Segoe UI" w:cs="Segoe UI"/>
          <w:sz w:val="22"/>
          <w:szCs w:val="22"/>
          <w:lang w:val="es-MX"/>
        </w:rPr>
        <w:t>nstitucional</w:t>
      </w:r>
      <w:r w:rsidR="00060C5D" w:rsidRPr="007644AC">
        <w:rPr>
          <w:rFonts w:ascii="Segoe UI" w:eastAsia="Calibri" w:hAnsi="Segoe UI" w:cs="Segoe UI"/>
          <w:sz w:val="22"/>
          <w:szCs w:val="22"/>
          <w:lang w:val="es-MX"/>
        </w:rPr>
        <w:t>.</w:t>
      </w:r>
      <w:r w:rsidR="00A77199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F33325" w:rsidRPr="007644AC">
        <w:rPr>
          <w:rFonts w:ascii="Segoe UI" w:eastAsia="Calibri" w:hAnsi="Segoe UI" w:cs="Segoe UI"/>
          <w:sz w:val="22"/>
          <w:szCs w:val="22"/>
          <w:lang w:val="es-MX"/>
        </w:rPr>
        <w:t>Entre otros</w:t>
      </w:r>
      <w:r w:rsidR="00A77199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, podemos citar </w:t>
      </w:r>
      <w:r w:rsidR="00A449BA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también </w:t>
      </w:r>
      <w:r w:rsidR="00A77199" w:rsidRPr="007644AC">
        <w:rPr>
          <w:rFonts w:ascii="Segoe UI" w:eastAsia="Calibri" w:hAnsi="Segoe UI" w:cs="Segoe UI"/>
          <w:sz w:val="22"/>
          <w:szCs w:val="22"/>
          <w:lang w:val="es-MX"/>
        </w:rPr>
        <w:t>las siguientes funciones:</w:t>
      </w:r>
    </w:p>
    <w:p w14:paraId="5AB6512F" w14:textId="1F555B0F" w:rsidR="0081347F" w:rsidRPr="007644AC" w:rsidRDefault="0081347F" w:rsidP="00554672">
      <w:pPr>
        <w:pStyle w:val="Prrafodelista"/>
        <w:numPr>
          <w:ilvl w:val="0"/>
          <w:numId w:val="12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Impulsar, coordinar y dar seguimiento a las acciones y actividades definidas en el Plan de Rendición de Cuentas al Ciudadano.</w:t>
      </w:r>
    </w:p>
    <w:p w14:paraId="065E219A" w14:textId="53BF52AA" w:rsidR="0081347F" w:rsidRPr="007644AC" w:rsidRDefault="0081347F" w:rsidP="00554672">
      <w:pPr>
        <w:pStyle w:val="Prrafodelista"/>
        <w:numPr>
          <w:ilvl w:val="0"/>
          <w:numId w:val="12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Recabar toda la información que sea necesaria, </w:t>
      </w:r>
      <w:r w:rsidR="00A449BA" w:rsidRPr="007644AC">
        <w:rPr>
          <w:rFonts w:ascii="Segoe UI" w:eastAsia="Calibri" w:hAnsi="Segoe UI" w:cs="Segoe UI"/>
          <w:sz w:val="22"/>
          <w:szCs w:val="22"/>
          <w:lang w:val="es-MX"/>
        </w:rPr>
        <w:t>provenientes de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las áreas institucionales, </w:t>
      </w:r>
      <w:r w:rsidR="00085640" w:rsidRPr="007644AC">
        <w:rPr>
          <w:rFonts w:ascii="Segoe UI" w:eastAsia="Calibri" w:hAnsi="Segoe UI" w:cs="Segoe UI"/>
          <w:sz w:val="22"/>
          <w:szCs w:val="22"/>
          <w:lang w:val="es-MX"/>
        </w:rPr>
        <w:t>en virtud de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la elaboración de los informes periódicos trimestrales.</w:t>
      </w:r>
    </w:p>
    <w:p w14:paraId="43DA593E" w14:textId="5E0C0739" w:rsidR="0081347F" w:rsidRPr="007644AC" w:rsidRDefault="0081347F" w:rsidP="00554672">
      <w:pPr>
        <w:pStyle w:val="Prrafodelista"/>
        <w:numPr>
          <w:ilvl w:val="0"/>
          <w:numId w:val="12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Articular acciones, en coordinación con la Unidad de </w:t>
      </w:r>
      <w:r w:rsidR="00E82930">
        <w:rPr>
          <w:rFonts w:ascii="Segoe UI" w:eastAsia="Calibri" w:hAnsi="Segoe UI" w:cs="Segoe UI"/>
          <w:sz w:val="22"/>
          <w:szCs w:val="22"/>
          <w:lang w:val="es-MX"/>
        </w:rPr>
        <w:t>A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nticorrupción</w:t>
      </w:r>
      <w:r w:rsidR="00E82930">
        <w:rPr>
          <w:rFonts w:ascii="Segoe UI" w:eastAsia="Calibri" w:hAnsi="Segoe UI" w:cs="Segoe UI"/>
          <w:sz w:val="22"/>
          <w:szCs w:val="22"/>
          <w:lang w:val="es-MX"/>
        </w:rPr>
        <w:t xml:space="preserve"> e Integridad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, para evidenciar la transparencia institucional, a través de ejercicios comunicacionales.</w:t>
      </w:r>
    </w:p>
    <w:p w14:paraId="1DCED86D" w14:textId="2212EF12" w:rsidR="0081347F" w:rsidRPr="007644AC" w:rsidRDefault="0081347F" w:rsidP="00554672">
      <w:pPr>
        <w:pStyle w:val="Prrafodelista"/>
        <w:numPr>
          <w:ilvl w:val="0"/>
          <w:numId w:val="12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Identificar las áreas de acción institucional que constituyen prio</w:t>
      </w:r>
      <w:r w:rsidR="00B3570F" w:rsidRPr="007644AC">
        <w:rPr>
          <w:rFonts w:ascii="Segoe UI" w:eastAsia="Calibri" w:hAnsi="Segoe UI" w:cs="Segoe UI"/>
          <w:sz w:val="22"/>
          <w:szCs w:val="22"/>
          <w:lang w:val="es-MX"/>
        </w:rPr>
        <w:t>r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idades para la Rendición de Cuentas de</w:t>
      </w:r>
      <w:r w:rsidR="00DB0D74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cada Ejercicio Fiscal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.</w:t>
      </w:r>
    </w:p>
    <w:p w14:paraId="5A8429B4" w14:textId="77777777" w:rsidR="0081347F" w:rsidRPr="007644AC" w:rsidRDefault="0081347F" w:rsidP="00554672">
      <w:pPr>
        <w:pStyle w:val="Prrafodelista"/>
        <w:numPr>
          <w:ilvl w:val="0"/>
          <w:numId w:val="12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Incorporar mecanismos, herramientas y espacios para la Rendición de Cuentas al Ciudadano como proceso dinámico, permanente, interactivo y continuo.</w:t>
      </w:r>
    </w:p>
    <w:p w14:paraId="55E449D7" w14:textId="72FED684" w:rsidR="00DB0D74" w:rsidRPr="007644AC" w:rsidRDefault="0081347F" w:rsidP="00554672">
      <w:pPr>
        <w:pStyle w:val="Prrafodelista"/>
        <w:numPr>
          <w:ilvl w:val="0"/>
          <w:numId w:val="12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Ofrecer a la ciudadanía datos e información en tiempo y forma para facilitar el rol de </w:t>
      </w:r>
      <w:r w:rsidR="00857D3B" w:rsidRPr="007644AC">
        <w:rPr>
          <w:rFonts w:ascii="Segoe UI" w:eastAsia="Calibri" w:hAnsi="Segoe UI" w:cs="Segoe UI"/>
          <w:sz w:val="22"/>
          <w:szCs w:val="22"/>
          <w:lang w:val="es-MX"/>
        </w:rPr>
        <w:t>contralor social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.</w:t>
      </w:r>
    </w:p>
    <w:p w14:paraId="5EA2D088" w14:textId="4826640E" w:rsidR="005025BF" w:rsidRPr="007644AC" w:rsidRDefault="009B1494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En el contexto del diseño para </w:t>
      </w:r>
      <w:r w:rsidR="009A13D6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su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elaboración</w:t>
      </w:r>
      <w:r w:rsidR="009A13D6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,</w:t>
      </w:r>
      <w:r w:rsidR="00C9127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los lineamientos</w:t>
      </w:r>
      <w:r w:rsidR="009A13D6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C9127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</w:t>
      </w:r>
      <w:r w:rsidR="0093287E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el </w:t>
      </w:r>
      <w:r w:rsidR="009A13D6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Plan</w:t>
      </w:r>
      <w:r w:rsidR="0093287E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se </w:t>
      </w:r>
      <w:r w:rsidR="00C9127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rigen</w:t>
      </w:r>
      <w:r w:rsidR="0093287E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conforme a </w:t>
      </w:r>
      <w:r w:rsidR="008C2AD0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capacidades y procedimientos </w:t>
      </w:r>
      <w:r w:rsidR="00AF1709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que se </w:t>
      </w:r>
      <w:r w:rsidR="00391B1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relacionan</w:t>
      </w:r>
      <w:r w:rsidR="00AF1709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con la </w:t>
      </w:r>
      <w:r w:rsidR="007244E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M</w:t>
      </w:r>
      <w:r w:rsidR="00AF1709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isió</w:t>
      </w:r>
      <w:r w:rsidR="00EB588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n</w:t>
      </w:r>
      <w:r w:rsidR="001A1B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, </w:t>
      </w:r>
      <w:r w:rsidR="007244E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V</w:t>
      </w:r>
      <w:r w:rsidR="001A1B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isión y </w:t>
      </w:r>
      <w:r w:rsidR="007244E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lastRenderedPageBreak/>
        <w:t>V</w:t>
      </w:r>
      <w:r w:rsidR="001A1BE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alores </w:t>
      </w:r>
      <w:r w:rsidR="00EB588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de la Unidad Técnica, por </w:t>
      </w:r>
      <w:proofErr w:type="gramStart"/>
      <w:r w:rsidR="00EB588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tanto</w:t>
      </w:r>
      <w:proofErr w:type="gramEnd"/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conlleva una</w:t>
      </w:r>
      <w:r w:rsidR="008C2AD0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articulación </w:t>
      </w:r>
      <w:r w:rsidR="00EB588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interna</w:t>
      </w:r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efectiva y eficiente en </w:t>
      </w:r>
      <w:r w:rsidR="00C9127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virtud</w:t>
      </w:r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C9127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de</w:t>
      </w:r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la </w:t>
      </w:r>
      <w:r w:rsidR="005025BF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responsabilidad</w:t>
      </w:r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5025BF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conjunta</w:t>
      </w:r>
      <w:r w:rsidR="00DF33D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  <w:r w:rsidR="00C9127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institucional</w:t>
      </w:r>
      <w:r w:rsidR="00DF33D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para la provisión de informaciones veraces y precisas</w:t>
      </w:r>
      <w:r w:rsidR="00F9520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</w:t>
      </w:r>
      <w:r w:rsidR="00B90954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</w:t>
      </w:r>
    </w:p>
    <w:p w14:paraId="22A8202E" w14:textId="12BCA0EB" w:rsidR="00397718" w:rsidRPr="00371B65" w:rsidRDefault="00371B65" w:rsidP="00554672">
      <w:pPr>
        <w:pStyle w:val="Prrafodelista"/>
        <w:numPr>
          <w:ilvl w:val="1"/>
          <w:numId w:val="17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b/>
          <w:bCs/>
          <w:lang w:val="es-MX"/>
        </w:rPr>
      </w:pPr>
      <w:r w:rsidRPr="00371B65">
        <w:rPr>
          <w:rFonts w:ascii="Segoe UI" w:eastAsia="Calibri" w:hAnsi="Segoe UI" w:cs="Segoe UI"/>
          <w:b/>
          <w:bCs/>
          <w:lang w:val="es-MX"/>
        </w:rPr>
        <w:t xml:space="preserve">Ejecución </w:t>
      </w:r>
      <w:r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el Plan </w:t>
      </w:r>
      <w:r>
        <w:rPr>
          <w:rFonts w:ascii="Segoe UI" w:eastAsia="Calibri" w:hAnsi="Segoe UI" w:cs="Segoe UI"/>
          <w:b/>
          <w:bCs/>
          <w:lang w:val="es-MX"/>
        </w:rPr>
        <w:t>y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 Estrategia Comunicacional </w:t>
      </w:r>
      <w:r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 Rendición </w:t>
      </w:r>
      <w:r>
        <w:rPr>
          <w:rFonts w:ascii="Segoe UI" w:eastAsia="Calibri" w:hAnsi="Segoe UI" w:cs="Segoe UI"/>
          <w:b/>
          <w:bCs/>
          <w:lang w:val="es-MX"/>
        </w:rPr>
        <w:t>d</w:t>
      </w:r>
      <w:r w:rsidRPr="00371B65">
        <w:rPr>
          <w:rFonts w:ascii="Segoe UI" w:eastAsia="Calibri" w:hAnsi="Segoe UI" w:cs="Segoe UI"/>
          <w:b/>
          <w:bCs/>
          <w:lang w:val="es-MX"/>
        </w:rPr>
        <w:t xml:space="preserve">e Cuentas </w:t>
      </w:r>
      <w:r>
        <w:rPr>
          <w:rFonts w:ascii="Segoe UI" w:eastAsia="Calibri" w:hAnsi="Segoe UI" w:cs="Segoe UI"/>
          <w:b/>
          <w:bCs/>
          <w:lang w:val="es-MX"/>
        </w:rPr>
        <w:t>a</w:t>
      </w:r>
      <w:r w:rsidRPr="00371B65">
        <w:rPr>
          <w:rFonts w:ascii="Segoe UI" w:eastAsia="Calibri" w:hAnsi="Segoe UI" w:cs="Segoe UI"/>
          <w:b/>
          <w:bCs/>
          <w:lang w:val="es-MX"/>
        </w:rPr>
        <w:t>l Ciudadano.</w:t>
      </w:r>
    </w:p>
    <w:p w14:paraId="0C3E143B" w14:textId="6C12505B" w:rsidR="00C20D79" w:rsidRPr="007644AC" w:rsidRDefault="00C22500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Para el presente año 202</w:t>
      </w:r>
      <w:r w:rsidR="00716B55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6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, en lo </w:t>
      </w:r>
      <w:r w:rsidR="00E04592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referente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a la Rendición de Cuentas al Ciudadano</w:t>
      </w:r>
      <w:r w:rsidR="00E04592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y la ejecución del presente Plan Anual, 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se </w:t>
      </w:r>
      <w:r w:rsidR="0039771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priorizarán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las áreas de acción </w:t>
      </w:r>
      <w:r w:rsidR="0026339C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y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metas institucionales que garanti</w:t>
      </w:r>
      <w:r w:rsidR="0039771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ce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n, tanto los objetivos misionales, así como los de transparencia</w:t>
      </w:r>
      <w:r w:rsidR="00397718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.</w:t>
      </w:r>
    </w:p>
    <w:p w14:paraId="35DE1F57" w14:textId="0F2FC20E" w:rsidR="00D000F3" w:rsidRPr="007644AC" w:rsidRDefault="00893367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</w:pP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Conforme disposiciones del Manual de Rendición de Cuentas del Ciudadano, el Comité de Rendición de Cuentas pondrá a conocimiento de la ciudadanía la</w:t>
      </w:r>
      <w:r w:rsidR="00D413F5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s documentaciones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, en formato abierto y PDF, con miras a la promoción de la transparencia en el sector público y el correcto </w:t>
      </w:r>
      <w:r w:rsidR="00990122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uso de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los recursos públicos</w:t>
      </w:r>
      <w:r w:rsidR="00D413F5"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 xml:space="preserve"> a través de los siguientes instrumentos</w:t>
      </w:r>
      <w:r w:rsidRPr="007644AC">
        <w:rPr>
          <w:rFonts w:ascii="Segoe UI" w:eastAsia="Calibri" w:hAnsi="Segoe UI" w:cs="Segoe UI"/>
          <w:kern w:val="0"/>
          <w:sz w:val="22"/>
          <w:szCs w:val="22"/>
          <w:lang w:val="es-MX" w:eastAsia="en-US" w:bidi="ar-SA"/>
        </w:rPr>
        <w:t>:</w:t>
      </w:r>
    </w:p>
    <w:p w14:paraId="6A14CA68" w14:textId="5565772B" w:rsidR="00933770" w:rsidRPr="007644AC" w:rsidRDefault="00933770" w:rsidP="00554672">
      <w:pPr>
        <w:pStyle w:val="Prrafodelista"/>
        <w:numPr>
          <w:ilvl w:val="0"/>
          <w:numId w:val="14"/>
        </w:numPr>
        <w:suppressAutoHyphens/>
        <w:spacing w:line="360" w:lineRule="auto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u w:val="single"/>
          <w:lang w:val="es-MX"/>
        </w:rPr>
        <w:t>Informes Parciales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: Realizados de manera </w:t>
      </w:r>
      <w:r w:rsidR="00D413F5" w:rsidRPr="007644AC">
        <w:rPr>
          <w:rFonts w:ascii="Segoe UI" w:eastAsia="Calibri" w:hAnsi="Segoe UI" w:cs="Segoe UI"/>
          <w:sz w:val="22"/>
          <w:szCs w:val="22"/>
          <w:lang w:val="es-MX"/>
        </w:rPr>
        <w:t>trimestral</w:t>
      </w:r>
      <w:r w:rsidR="000F478A">
        <w:rPr>
          <w:rFonts w:ascii="Segoe UI" w:eastAsia="Calibri" w:hAnsi="Segoe UI" w:cs="Segoe UI"/>
          <w:sz w:val="22"/>
          <w:szCs w:val="22"/>
          <w:lang w:val="es-MX"/>
        </w:rPr>
        <w:t xml:space="preserve">, </w:t>
      </w:r>
      <w:r w:rsidR="00D776A2" w:rsidRPr="007644AC">
        <w:rPr>
          <w:rFonts w:ascii="Segoe UI" w:eastAsia="Calibri" w:hAnsi="Segoe UI" w:cs="Segoe UI"/>
          <w:sz w:val="22"/>
          <w:szCs w:val="22"/>
          <w:lang w:val="es-MX"/>
        </w:rPr>
        <w:t>conforme al siguiente cronograma:</w:t>
      </w:r>
    </w:p>
    <w:p w14:paraId="0AABE14B" w14:textId="50A7F867" w:rsidR="00933770" w:rsidRPr="007644AC" w:rsidRDefault="00933770" w:rsidP="00554672">
      <w:pPr>
        <w:pStyle w:val="Prrafodelista"/>
        <w:numPr>
          <w:ilvl w:val="0"/>
          <w:numId w:val="15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lang w:val="es-MX"/>
        </w:rPr>
        <w:t>Primer Informe Parcial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: ENERO - FEBRERO </w:t>
      </w:r>
      <w:r w:rsidR="00D776A2" w:rsidRPr="007644AC">
        <w:rPr>
          <w:rFonts w:ascii="Segoe UI" w:eastAsia="Calibri" w:hAnsi="Segoe UI" w:cs="Segoe UI"/>
          <w:sz w:val="22"/>
          <w:szCs w:val="22"/>
          <w:lang w:val="es-MX"/>
        </w:rPr>
        <w:t>–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MARZO</w:t>
      </w:r>
    </w:p>
    <w:p w14:paraId="7EEEB42A" w14:textId="50B8D4C3" w:rsidR="00933770" w:rsidRPr="007644AC" w:rsidRDefault="00933770" w:rsidP="00554672">
      <w:pPr>
        <w:pStyle w:val="Prrafodelista"/>
        <w:numPr>
          <w:ilvl w:val="0"/>
          <w:numId w:val="15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lang w:val="es-MX"/>
        </w:rPr>
        <w:t>Segundo Informe Parcial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: ABRIL - MAYO </w:t>
      </w:r>
      <w:r w:rsidR="00D776A2" w:rsidRPr="007644AC">
        <w:rPr>
          <w:rFonts w:ascii="Segoe UI" w:eastAsia="Calibri" w:hAnsi="Segoe UI" w:cs="Segoe UI"/>
          <w:sz w:val="22"/>
          <w:szCs w:val="22"/>
          <w:lang w:val="es-MX"/>
        </w:rPr>
        <w:t>–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JUNIO</w:t>
      </w:r>
    </w:p>
    <w:p w14:paraId="39988491" w14:textId="05BC450E" w:rsidR="00D776A2" w:rsidRPr="007644AC" w:rsidRDefault="00933770" w:rsidP="00554672">
      <w:pPr>
        <w:pStyle w:val="Prrafodelista"/>
        <w:numPr>
          <w:ilvl w:val="0"/>
          <w:numId w:val="15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lang w:val="es-MX"/>
        </w:rPr>
        <w:t>Tercer Informe Parcial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: JULIO - AGOSTO </w:t>
      </w:r>
      <w:r w:rsidR="00D776A2" w:rsidRPr="007644AC">
        <w:rPr>
          <w:rFonts w:ascii="Segoe UI" w:eastAsia="Calibri" w:hAnsi="Segoe UI" w:cs="Segoe UI"/>
          <w:sz w:val="22"/>
          <w:szCs w:val="22"/>
          <w:lang w:val="es-MX"/>
        </w:rPr>
        <w:t>–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SEPTIEMBRE</w:t>
      </w:r>
    </w:p>
    <w:p w14:paraId="3FAD19A7" w14:textId="4677D492" w:rsidR="00933770" w:rsidRPr="007644AC" w:rsidRDefault="00933770" w:rsidP="00554672">
      <w:pPr>
        <w:pStyle w:val="Prrafodelista"/>
        <w:numPr>
          <w:ilvl w:val="0"/>
          <w:numId w:val="14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u w:val="single"/>
          <w:lang w:val="es-MX"/>
        </w:rPr>
        <w:t>Informe Final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: Abarca desde el mes de ENERO A DICIEMBRE</w:t>
      </w:r>
      <w:r w:rsidR="00D776A2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cada Ejercicio Fiscal,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y comprende las acciones realizadas en el marco del Plan de Rendición de Cuentas al Ciudadano 202</w:t>
      </w:r>
      <w:r w:rsidR="002B6D56">
        <w:rPr>
          <w:rFonts w:ascii="Segoe UI" w:eastAsia="Calibri" w:hAnsi="Segoe UI" w:cs="Segoe UI"/>
          <w:sz w:val="22"/>
          <w:szCs w:val="22"/>
          <w:lang w:val="es-MX"/>
        </w:rPr>
        <w:t>6</w:t>
      </w:r>
      <w:r w:rsidR="00D776A2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, plasmadas </w:t>
      </w:r>
      <w:r w:rsidR="006D3C4C" w:rsidRPr="007644AC">
        <w:rPr>
          <w:rFonts w:ascii="Segoe UI" w:eastAsia="Calibri" w:hAnsi="Segoe UI" w:cs="Segoe UI"/>
          <w:sz w:val="22"/>
          <w:szCs w:val="22"/>
          <w:lang w:val="es-MX"/>
        </w:rPr>
        <w:t>en los informes parciales.</w:t>
      </w:r>
    </w:p>
    <w:p w14:paraId="36545654" w14:textId="769B10E3" w:rsidR="00C07A65" w:rsidRPr="007644AC" w:rsidRDefault="00933770" w:rsidP="00554672">
      <w:pPr>
        <w:pStyle w:val="Prrafodelista"/>
        <w:numPr>
          <w:ilvl w:val="0"/>
          <w:numId w:val="14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u w:val="single"/>
          <w:lang w:val="es-MX"/>
        </w:rPr>
        <w:t>Memoria Anual: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Se constituye en el desarrollo de una síntesis de todas las acciones y de los insumos recogidos durante el año en el marco de las acciones consideradas prioritarias para la rendición de cuentas; deberá estar disponible al público al inicio del siguiente periodo fiscal.</w:t>
      </w:r>
    </w:p>
    <w:p w14:paraId="793230F8" w14:textId="1D60BBE4" w:rsidR="006E5ED0" w:rsidRPr="007644AC" w:rsidRDefault="006E5ED0" w:rsidP="00554672">
      <w:pPr>
        <w:pStyle w:val="Prrafodelista"/>
        <w:numPr>
          <w:ilvl w:val="0"/>
          <w:numId w:val="14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b/>
          <w:bCs/>
          <w:sz w:val="22"/>
          <w:szCs w:val="22"/>
          <w:u w:val="single"/>
          <w:lang w:val="es-MX"/>
        </w:rPr>
        <w:lastRenderedPageBreak/>
        <w:t>Matriz de Indicadores:</w:t>
      </w:r>
      <w:r w:rsidRPr="007644AC">
        <w:rPr>
          <w:rFonts w:ascii="Segoe UI" w:eastAsia="Calibri" w:hAnsi="Segoe UI" w:cs="Segoe UI"/>
          <w:b/>
          <w:bCs/>
          <w:sz w:val="22"/>
          <w:szCs w:val="22"/>
          <w:lang w:val="es-MX"/>
        </w:rPr>
        <w:t xml:space="preserve"> 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Es una herramienta de planificación y monitoreo, que vincula los objetivos, las acciones, los insumos y los resultados esperados y/ o medios de verificación; identifica los medios para obtener y verificar la información de los indicadores.</w:t>
      </w:r>
    </w:p>
    <w:p w14:paraId="75ACD89C" w14:textId="6826F818" w:rsidR="006E5ED0" w:rsidRPr="007644AC" w:rsidRDefault="00BA6CEA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En el marco de la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estrategia comunicacional, el Comi</w:t>
      </w:r>
      <w:r w:rsidR="00F96527" w:rsidRPr="007644AC">
        <w:rPr>
          <w:rFonts w:ascii="Segoe UI" w:eastAsia="Calibri" w:hAnsi="Segoe UI" w:cs="Segoe UI"/>
          <w:sz w:val="22"/>
          <w:szCs w:val="22"/>
          <w:lang w:val="es-MX"/>
        </w:rPr>
        <w:t>té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Rendic</w:t>
      </w:r>
      <w:r w:rsidR="00F96527" w:rsidRPr="007644AC">
        <w:rPr>
          <w:rFonts w:ascii="Segoe UI" w:eastAsia="Calibri" w:hAnsi="Segoe UI" w:cs="Segoe UI"/>
          <w:sz w:val="22"/>
          <w:szCs w:val="22"/>
          <w:lang w:val="es-MX"/>
        </w:rPr>
        <w:t>ió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>n de Cuentas contempla acciones de dif</w:t>
      </w:r>
      <w:r w:rsidR="006B3C1A" w:rsidRPr="007644AC">
        <w:rPr>
          <w:rFonts w:ascii="Segoe UI" w:eastAsia="Calibri" w:hAnsi="Segoe UI" w:cs="Segoe UI"/>
          <w:sz w:val="22"/>
          <w:szCs w:val="22"/>
          <w:lang w:val="es-MX"/>
        </w:rPr>
        <w:t>usió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>n para el acceso a la informac</w:t>
      </w:r>
      <w:r w:rsidR="006B3C1A" w:rsidRPr="007644AC">
        <w:rPr>
          <w:rFonts w:ascii="Segoe UI" w:eastAsia="Calibri" w:hAnsi="Segoe UI" w:cs="Segoe UI"/>
          <w:sz w:val="22"/>
          <w:szCs w:val="22"/>
          <w:lang w:val="es-MX"/>
        </w:rPr>
        <w:t>ió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 </w:t>
      </w:r>
      <w:r w:rsidR="006B3C1A" w:rsidRPr="007644AC">
        <w:rPr>
          <w:rFonts w:ascii="Segoe UI" w:eastAsia="Calibri" w:hAnsi="Segoe UI" w:cs="Segoe UI"/>
          <w:sz w:val="22"/>
          <w:szCs w:val="22"/>
          <w:lang w:val="es-MX"/>
        </w:rPr>
        <w:t>pú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blica institucional con miras a </w:t>
      </w:r>
      <w:r w:rsidR="006B3C1A" w:rsidRPr="007644AC">
        <w:rPr>
          <w:rFonts w:ascii="Segoe UI" w:eastAsia="Calibri" w:hAnsi="Segoe UI" w:cs="Segoe UI"/>
          <w:sz w:val="22"/>
          <w:szCs w:val="22"/>
          <w:lang w:val="es-MX"/>
        </w:rPr>
        <w:t>l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>a promoc</w:t>
      </w:r>
      <w:r w:rsidR="006B3C1A" w:rsidRPr="007644AC">
        <w:rPr>
          <w:rFonts w:ascii="Segoe UI" w:eastAsia="Calibri" w:hAnsi="Segoe UI" w:cs="Segoe UI"/>
          <w:sz w:val="22"/>
          <w:szCs w:val="22"/>
          <w:lang w:val="es-MX"/>
        </w:rPr>
        <w:t>ión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la participac</w:t>
      </w:r>
      <w:r w:rsidR="00BF5A80" w:rsidRPr="007644AC">
        <w:rPr>
          <w:rFonts w:ascii="Segoe UI" w:eastAsia="Calibri" w:hAnsi="Segoe UI" w:cs="Segoe UI"/>
          <w:sz w:val="22"/>
          <w:szCs w:val="22"/>
          <w:lang w:val="es-MX"/>
        </w:rPr>
        <w:t>ión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ciudadana.</w:t>
      </w:r>
    </w:p>
    <w:p w14:paraId="3E965710" w14:textId="415DE503" w:rsidR="006E5ED0" w:rsidRPr="007644AC" w:rsidRDefault="000E1392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>En tal sentido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, la </w:t>
      </w:r>
      <w:r w:rsidR="00713805" w:rsidRPr="007644AC">
        <w:rPr>
          <w:rFonts w:ascii="Segoe UI" w:eastAsia="Calibri" w:hAnsi="Segoe UI" w:cs="Segoe UI"/>
          <w:sz w:val="22"/>
          <w:szCs w:val="22"/>
          <w:lang w:val="es-MX"/>
        </w:rPr>
        <w:t>Unidad Técnica del Gabinete Social</w:t>
      </w:r>
      <w:r w:rsidR="000F478A">
        <w:rPr>
          <w:rFonts w:ascii="Segoe UI" w:eastAsia="Calibri" w:hAnsi="Segoe UI" w:cs="Segoe UI"/>
          <w:sz w:val="22"/>
          <w:szCs w:val="22"/>
          <w:lang w:val="es-MX"/>
        </w:rPr>
        <w:t xml:space="preserve"> de la Presidencia de la República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320434" w:rsidRPr="007644AC">
        <w:rPr>
          <w:rFonts w:ascii="Segoe UI" w:eastAsia="Calibri" w:hAnsi="Segoe UI" w:cs="Segoe UI"/>
          <w:sz w:val="22"/>
          <w:szCs w:val="22"/>
          <w:lang w:val="es-MX"/>
        </w:rPr>
        <w:t>pone a disposición de la ciudadanía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plataformas tecno</w:t>
      </w:r>
      <w:r w:rsidR="00BF5A80" w:rsidRPr="007644AC">
        <w:rPr>
          <w:rFonts w:ascii="Segoe UI" w:eastAsia="Calibri" w:hAnsi="Segoe UI" w:cs="Segoe UI"/>
          <w:sz w:val="22"/>
          <w:szCs w:val="22"/>
          <w:lang w:val="es-MX"/>
        </w:rPr>
        <w:t>lóg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>icas que facilitan el acceso a la informac</w:t>
      </w:r>
      <w:r w:rsidR="00BF5A80" w:rsidRPr="007644AC">
        <w:rPr>
          <w:rFonts w:ascii="Segoe UI" w:eastAsia="Calibri" w:hAnsi="Segoe UI" w:cs="Segoe UI"/>
          <w:sz w:val="22"/>
          <w:szCs w:val="22"/>
          <w:lang w:val="es-MX"/>
        </w:rPr>
        <w:t>ió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 </w:t>
      </w:r>
      <w:r w:rsidR="00C00CB9" w:rsidRPr="007644AC">
        <w:rPr>
          <w:rFonts w:ascii="Segoe UI" w:eastAsia="Calibri" w:hAnsi="Segoe UI" w:cs="Segoe UI"/>
          <w:sz w:val="22"/>
          <w:szCs w:val="22"/>
          <w:lang w:val="es-MX"/>
        </w:rPr>
        <w:t>pública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propician</w:t>
      </w:r>
      <w:r w:rsidR="00320434" w:rsidRPr="007644AC">
        <w:rPr>
          <w:rFonts w:ascii="Segoe UI" w:eastAsia="Calibri" w:hAnsi="Segoe UI" w:cs="Segoe UI"/>
          <w:sz w:val="22"/>
          <w:szCs w:val="22"/>
          <w:lang w:val="es-MX"/>
        </w:rPr>
        <w:t>do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la </w:t>
      </w:r>
      <w:r w:rsidR="007E6222" w:rsidRPr="007644AC">
        <w:rPr>
          <w:rFonts w:ascii="Segoe UI" w:eastAsia="Calibri" w:hAnsi="Segoe UI" w:cs="Segoe UI"/>
          <w:sz w:val="22"/>
          <w:szCs w:val="22"/>
          <w:lang w:val="es-MX"/>
        </w:rPr>
        <w:t>participación ciudadana</w:t>
      </w:r>
      <w:r w:rsidR="008D078E" w:rsidRPr="007644AC">
        <w:rPr>
          <w:rFonts w:ascii="Segoe UI" w:eastAsia="Calibri" w:hAnsi="Segoe UI" w:cs="Segoe UI"/>
          <w:sz w:val="22"/>
          <w:szCs w:val="22"/>
          <w:lang w:val="es-MX"/>
        </w:rPr>
        <w:t>.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8D078E" w:rsidRPr="007644AC">
        <w:rPr>
          <w:rFonts w:ascii="Segoe UI" w:eastAsia="Calibri" w:hAnsi="Segoe UI" w:cs="Segoe UI"/>
          <w:sz w:val="22"/>
          <w:szCs w:val="22"/>
          <w:lang w:val="es-MX"/>
        </w:rPr>
        <w:t>E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ntre </w:t>
      </w:r>
      <w:r w:rsidR="008D078E" w:rsidRPr="007644AC">
        <w:rPr>
          <w:rFonts w:ascii="Segoe UI" w:eastAsia="Calibri" w:hAnsi="Segoe UI" w:cs="Segoe UI"/>
          <w:sz w:val="22"/>
          <w:szCs w:val="22"/>
          <w:lang w:val="es-MX"/>
        </w:rPr>
        <w:t>ellas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cabe </w:t>
      </w:r>
      <w:r w:rsidR="005F123C" w:rsidRPr="007644AC">
        <w:rPr>
          <w:rFonts w:ascii="Segoe UI" w:eastAsia="Calibri" w:hAnsi="Segoe UI" w:cs="Segoe UI"/>
          <w:sz w:val="22"/>
          <w:szCs w:val="22"/>
          <w:lang w:val="es-MX"/>
        </w:rPr>
        <w:t>mencionar</w:t>
      </w:r>
      <w:r w:rsidR="008D078E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a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l </w:t>
      </w:r>
      <w:r w:rsidR="008D078E" w:rsidRPr="007644AC">
        <w:rPr>
          <w:rFonts w:ascii="Segoe UI" w:eastAsia="Calibri" w:hAnsi="Segoe UI" w:cs="Segoe UI"/>
          <w:sz w:val="22"/>
          <w:szCs w:val="22"/>
          <w:lang w:val="es-MX"/>
        </w:rPr>
        <w:t>Portal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</w:t>
      </w:r>
      <w:r w:rsidR="007244E5">
        <w:rPr>
          <w:rFonts w:ascii="Segoe UI" w:eastAsia="Calibri" w:hAnsi="Segoe UI" w:cs="Segoe UI"/>
          <w:sz w:val="22"/>
          <w:szCs w:val="22"/>
          <w:lang w:val="es-MX"/>
        </w:rPr>
        <w:t>D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enuncias </w:t>
      </w:r>
      <w:r w:rsidR="007244E5">
        <w:rPr>
          <w:rFonts w:ascii="Segoe UI" w:eastAsia="Calibri" w:hAnsi="Segoe UI" w:cs="Segoe UI"/>
          <w:sz w:val="22"/>
          <w:szCs w:val="22"/>
          <w:lang w:val="es-MX"/>
        </w:rPr>
        <w:t>C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iudadanas, el Portal </w:t>
      </w:r>
      <w:r w:rsidR="00B95280" w:rsidRPr="007644AC">
        <w:rPr>
          <w:rFonts w:ascii="Segoe UI" w:eastAsia="Calibri" w:hAnsi="Segoe UI" w:cs="Segoe UI"/>
          <w:sz w:val="22"/>
          <w:szCs w:val="22"/>
          <w:lang w:val="es-MX"/>
        </w:rPr>
        <w:t>Unificado</w:t>
      </w:r>
      <w:r w:rsidR="008D078E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de </w:t>
      </w:r>
      <w:r w:rsidR="007244E5">
        <w:rPr>
          <w:rFonts w:ascii="Segoe UI" w:eastAsia="Calibri" w:hAnsi="Segoe UI" w:cs="Segoe UI"/>
          <w:sz w:val="22"/>
          <w:szCs w:val="22"/>
          <w:lang w:val="es-MX"/>
        </w:rPr>
        <w:t>I</w:t>
      </w:r>
      <w:r w:rsidR="00B9528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nformación Pública, así como las distintas botoneras </w:t>
      </w:r>
      <w:r w:rsidR="003A5108" w:rsidRPr="007644AC">
        <w:rPr>
          <w:rFonts w:ascii="Segoe UI" w:eastAsia="Calibri" w:hAnsi="Segoe UI" w:cs="Segoe UI"/>
          <w:sz w:val="22"/>
          <w:szCs w:val="22"/>
          <w:lang w:val="es-MX"/>
        </w:rPr>
        <w:t>dispuestas en la Página Web Institucional en el marco de la rendición de cuentas. Asimismo, se encuentra a disposición el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bu</w:t>
      </w:r>
      <w:r w:rsidR="00713805" w:rsidRPr="007644AC">
        <w:rPr>
          <w:rFonts w:ascii="Segoe UI" w:eastAsia="Calibri" w:hAnsi="Segoe UI" w:cs="Segoe UI"/>
          <w:sz w:val="22"/>
          <w:szCs w:val="22"/>
          <w:lang w:val="es-MX"/>
        </w:rPr>
        <w:t>z</w:t>
      </w:r>
      <w:r w:rsidR="00DA558E" w:rsidRPr="007644AC">
        <w:rPr>
          <w:rFonts w:ascii="Segoe UI" w:eastAsia="Calibri" w:hAnsi="Segoe UI" w:cs="Segoe UI"/>
          <w:sz w:val="22"/>
          <w:szCs w:val="22"/>
          <w:lang w:val="es-MX"/>
        </w:rPr>
        <w:t>ó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n de </w:t>
      </w:r>
      <w:r w:rsidR="00DA558E" w:rsidRPr="007644AC">
        <w:rPr>
          <w:rFonts w:ascii="Segoe UI" w:eastAsia="Calibri" w:hAnsi="Segoe UI" w:cs="Segoe UI"/>
          <w:sz w:val="22"/>
          <w:szCs w:val="22"/>
          <w:lang w:val="es-MX"/>
        </w:rPr>
        <w:t>sugerencias</w:t>
      </w:r>
      <w:r w:rsidR="006E5ED0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7C628B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institucional. </w:t>
      </w:r>
    </w:p>
    <w:p w14:paraId="15B6B3F3" w14:textId="6598C1D7" w:rsidR="000F4DB5" w:rsidRPr="000F478A" w:rsidRDefault="002D24A4" w:rsidP="00554672">
      <w:pPr>
        <w:pStyle w:val="Prrafodelista"/>
        <w:numPr>
          <w:ilvl w:val="1"/>
          <w:numId w:val="17"/>
        </w:numPr>
        <w:tabs>
          <w:tab w:val="left" w:pos="4905"/>
        </w:tabs>
        <w:suppressAutoHyphens/>
        <w:spacing w:after="160" w:line="360" w:lineRule="auto"/>
        <w:jc w:val="both"/>
        <w:rPr>
          <w:rFonts w:ascii="Segoe UI" w:eastAsia="Calibri" w:hAnsi="Segoe UI" w:cs="Segoe UI"/>
          <w:b/>
          <w:bCs/>
          <w:lang w:val="es-MX"/>
        </w:rPr>
      </w:pPr>
      <w:r>
        <w:rPr>
          <w:rFonts w:ascii="Segoe UI" w:eastAsia="Calibri" w:hAnsi="Segoe UI" w:cs="Segoe UI"/>
          <w:b/>
          <w:bCs/>
          <w:lang w:val="es-MX"/>
        </w:rPr>
        <w:t xml:space="preserve"> </w:t>
      </w:r>
      <w:r w:rsidR="000F478A" w:rsidRPr="000F478A">
        <w:rPr>
          <w:rFonts w:ascii="Segoe UI" w:eastAsia="Calibri" w:hAnsi="Segoe UI" w:cs="Segoe UI"/>
          <w:b/>
          <w:bCs/>
          <w:lang w:val="es-MX"/>
        </w:rPr>
        <w:t xml:space="preserve">Cronograma </w:t>
      </w:r>
      <w:r w:rsidR="007244E5">
        <w:rPr>
          <w:rFonts w:ascii="Segoe UI" w:eastAsia="Calibri" w:hAnsi="Segoe UI" w:cs="Segoe UI"/>
          <w:b/>
          <w:bCs/>
          <w:lang w:val="es-MX"/>
        </w:rPr>
        <w:t>d</w:t>
      </w:r>
      <w:r w:rsidR="000F478A" w:rsidRPr="000F478A">
        <w:rPr>
          <w:rFonts w:ascii="Segoe UI" w:eastAsia="Calibri" w:hAnsi="Segoe UI" w:cs="Segoe UI"/>
          <w:b/>
          <w:bCs/>
          <w:lang w:val="es-MX"/>
        </w:rPr>
        <w:t xml:space="preserve">e Actividades </w:t>
      </w:r>
    </w:p>
    <w:p w14:paraId="2120A578" w14:textId="7DBB83C3" w:rsidR="00F72077" w:rsidRPr="007644AC" w:rsidRDefault="00543389" w:rsidP="00554672">
      <w:pPr>
        <w:tabs>
          <w:tab w:val="left" w:pos="4905"/>
        </w:tabs>
        <w:spacing w:after="160" w:line="360" w:lineRule="auto"/>
        <w:jc w:val="both"/>
        <w:rPr>
          <w:rFonts w:ascii="Segoe UI" w:eastAsia="Calibri" w:hAnsi="Segoe UI" w:cs="Segoe UI"/>
          <w:sz w:val="22"/>
          <w:szCs w:val="22"/>
          <w:lang w:val="es-MX"/>
        </w:rPr>
      </w:pP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La elaboración del Cronograma de Actividades para el cumplimiento del Manual de Rendición de Cuentas </w:t>
      </w:r>
      <w:r w:rsidR="007244E5">
        <w:rPr>
          <w:rFonts w:ascii="Segoe UI" w:eastAsia="Calibri" w:hAnsi="Segoe UI" w:cs="Segoe UI"/>
          <w:sz w:val="22"/>
          <w:szCs w:val="22"/>
          <w:lang w:val="es-MX"/>
        </w:rPr>
        <w:t>al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7C628B" w:rsidRPr="007644AC">
        <w:rPr>
          <w:rFonts w:ascii="Segoe UI" w:eastAsia="Calibri" w:hAnsi="Segoe UI" w:cs="Segoe UI"/>
          <w:sz w:val="22"/>
          <w:szCs w:val="22"/>
          <w:lang w:val="es-MX"/>
        </w:rPr>
        <w:t>Ciudadano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consta de </w:t>
      </w:r>
      <w:r w:rsidR="000F478A">
        <w:rPr>
          <w:rFonts w:ascii="Segoe UI" w:eastAsia="Calibri" w:hAnsi="Segoe UI" w:cs="Segoe UI"/>
          <w:sz w:val="22"/>
          <w:szCs w:val="22"/>
          <w:lang w:val="es-MX"/>
        </w:rPr>
        <w:t>4</w:t>
      </w:r>
      <w:r w:rsidR="007C628B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(</w:t>
      </w:r>
      <w:r w:rsidR="000F478A">
        <w:rPr>
          <w:rFonts w:ascii="Segoe UI" w:eastAsia="Calibri" w:hAnsi="Segoe UI" w:cs="Segoe UI"/>
          <w:sz w:val="22"/>
          <w:szCs w:val="22"/>
          <w:lang w:val="es-MX"/>
        </w:rPr>
        <w:t>cuatro</w:t>
      </w:r>
      <w:r w:rsidR="007C628B" w:rsidRPr="007644AC">
        <w:rPr>
          <w:rFonts w:ascii="Segoe UI" w:eastAsia="Calibri" w:hAnsi="Segoe UI" w:cs="Segoe UI"/>
          <w:sz w:val="22"/>
          <w:szCs w:val="22"/>
          <w:lang w:val="es-MX"/>
        </w:rPr>
        <w:t>)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etapas</w:t>
      </w:r>
      <w:r w:rsidR="007C628B" w:rsidRPr="007644AC">
        <w:rPr>
          <w:rFonts w:ascii="Segoe UI" w:eastAsia="Calibri" w:hAnsi="Segoe UI" w:cs="Segoe UI"/>
          <w:sz w:val="22"/>
          <w:szCs w:val="22"/>
          <w:lang w:val="es-MX"/>
        </w:rPr>
        <w:t>,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y es</w:t>
      </w:r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>tá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diseñada en base a una </w:t>
      </w:r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>priorización temática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, a los objetivos</w:t>
      </w:r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>y a los lineamientos del Decreto N</w:t>
      </w:r>
      <w:r w:rsidR="00AD077D">
        <w:rPr>
          <w:rFonts w:ascii="Segoe UI" w:eastAsia="Calibri" w:hAnsi="Segoe UI" w:cs="Segoe UI"/>
          <w:sz w:val="22"/>
          <w:szCs w:val="22"/>
          <w:lang w:val="es-MX"/>
        </w:rPr>
        <w:t>°</w:t>
      </w:r>
      <w:r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Pr="00CF0063">
        <w:rPr>
          <w:rFonts w:ascii="Segoe UI" w:eastAsia="Calibri" w:hAnsi="Segoe UI" w:cs="Segoe UI"/>
          <w:sz w:val="22"/>
          <w:szCs w:val="22"/>
          <w:lang w:val="es-MX"/>
        </w:rPr>
        <w:t>2991/</w:t>
      </w:r>
      <w:r w:rsidR="007244E5" w:rsidRPr="00CF0063">
        <w:rPr>
          <w:rFonts w:ascii="Segoe UI" w:eastAsia="Calibri" w:hAnsi="Segoe UI" w:cs="Segoe UI"/>
          <w:sz w:val="22"/>
          <w:szCs w:val="22"/>
          <w:lang w:val="es-MX"/>
        </w:rPr>
        <w:t>20</w:t>
      </w:r>
      <w:r w:rsidR="00F72077" w:rsidRPr="00CF0063">
        <w:rPr>
          <w:rFonts w:ascii="Segoe UI" w:eastAsia="Calibri" w:hAnsi="Segoe UI" w:cs="Segoe UI"/>
          <w:sz w:val="22"/>
          <w:szCs w:val="22"/>
          <w:lang w:val="es-MX"/>
        </w:rPr>
        <w:t>19.</w:t>
      </w:r>
      <w:r w:rsidR="007C628B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 </w:t>
      </w:r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 xml:space="preserve">Se anexa al presente plan el cronograma de </w:t>
      </w:r>
      <w:proofErr w:type="spellStart"/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>actividad</w:t>
      </w:r>
      <w:r w:rsidR="000351C3">
        <w:rPr>
          <w:rFonts w:ascii="Segoe UI" w:eastAsia="Calibri" w:hAnsi="Segoe UI" w:cs="Segoe UI"/>
          <w:sz w:val="22"/>
          <w:szCs w:val="22"/>
          <w:lang w:val="es-MX"/>
        </w:rPr>
        <w:t>a</w:t>
      </w:r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>es</w:t>
      </w:r>
      <w:proofErr w:type="spellEnd"/>
      <w:r w:rsidR="00F72077" w:rsidRPr="007644AC">
        <w:rPr>
          <w:rFonts w:ascii="Segoe UI" w:eastAsia="Calibri" w:hAnsi="Segoe UI" w:cs="Segoe UI"/>
          <w:sz w:val="22"/>
          <w:szCs w:val="22"/>
          <w:lang w:val="es-MX"/>
        </w:rPr>
        <w:t>.</w:t>
      </w:r>
    </w:p>
    <w:p w14:paraId="76311887" w14:textId="10448FEB" w:rsidR="00B83EC0" w:rsidRPr="007644AC" w:rsidRDefault="00B83EC0" w:rsidP="00554672">
      <w:pPr>
        <w:tabs>
          <w:tab w:val="left" w:pos="6285"/>
        </w:tabs>
        <w:spacing w:line="360" w:lineRule="auto"/>
        <w:rPr>
          <w:rFonts w:ascii="Segoe UI" w:hAnsi="Segoe UI" w:cs="Segoe UI"/>
          <w:sz w:val="22"/>
          <w:szCs w:val="22"/>
        </w:rPr>
      </w:pPr>
    </w:p>
    <w:sectPr w:rsidR="00B83EC0" w:rsidRPr="007644AC" w:rsidSect="0048322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7" w:right="1701" w:bottom="1135" w:left="1701" w:header="1564" w:footer="92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ECB8" w14:textId="77777777" w:rsidR="0047138B" w:rsidRDefault="0047138B">
      <w:pPr>
        <w:rPr>
          <w:rFonts w:hint="eastAsia"/>
        </w:rPr>
      </w:pPr>
      <w:r>
        <w:separator/>
      </w:r>
    </w:p>
  </w:endnote>
  <w:endnote w:type="continuationSeparator" w:id="0">
    <w:p w14:paraId="409A2DCC" w14:textId="77777777" w:rsidR="0047138B" w:rsidRDefault="004713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F6D1" w14:textId="6FC7AD4B" w:rsidR="00B24BDB" w:rsidRPr="00F42D9E" w:rsidRDefault="00B24BDB" w:rsidP="00F42D9E">
    <w:pPr>
      <w:pStyle w:val="Piedepgina"/>
      <w:pBdr>
        <w:top w:val="single" w:sz="2" w:space="1" w:color="auto"/>
      </w:pBdr>
      <w:rPr>
        <w:rFonts w:hint="eastAsia"/>
        <w:b/>
        <w:bCs/>
        <w:sz w:val="16"/>
        <w:szCs w:val="16"/>
      </w:rPr>
    </w:pPr>
    <w:r w:rsidRPr="00F42D9E">
      <w:rPr>
        <w:b/>
        <w:bCs/>
        <w:sz w:val="16"/>
        <w:szCs w:val="16"/>
      </w:rPr>
      <w:t>COMITÉ DE RENDICIÓN DE CUENTAS AL CIUDADANO</w:t>
    </w:r>
  </w:p>
  <w:p w14:paraId="5EDC5DFA" w14:textId="24E5827F" w:rsidR="00EB0CCE" w:rsidRPr="002260A9" w:rsidRDefault="00EB0CCE" w:rsidP="00B24BDB">
    <w:pPr>
      <w:pStyle w:val="Piedepgina"/>
      <w:jc w:val="right"/>
      <w:rPr>
        <w:rFonts w:hint="eastAsia"/>
        <w:sz w:val="18"/>
        <w:szCs w:val="18"/>
      </w:rPr>
    </w:pPr>
    <w:r w:rsidRPr="002260A9">
      <w:rPr>
        <w:sz w:val="18"/>
        <w:szCs w:val="18"/>
      </w:rPr>
      <w:t xml:space="preserve">Página </w:t>
    </w:r>
    <w:r w:rsidRPr="002260A9">
      <w:rPr>
        <w:sz w:val="18"/>
        <w:szCs w:val="18"/>
      </w:rPr>
      <w:fldChar w:fldCharType="begin"/>
    </w:r>
    <w:r w:rsidRPr="002260A9">
      <w:rPr>
        <w:sz w:val="18"/>
        <w:szCs w:val="18"/>
      </w:rPr>
      <w:instrText>PAGE  \* Arabic  \* MERGEFORMAT</w:instrText>
    </w:r>
    <w:r w:rsidRPr="002260A9">
      <w:rPr>
        <w:sz w:val="18"/>
        <w:szCs w:val="18"/>
      </w:rPr>
      <w:fldChar w:fldCharType="separate"/>
    </w:r>
    <w:r w:rsidRPr="002260A9">
      <w:rPr>
        <w:sz w:val="18"/>
        <w:szCs w:val="18"/>
      </w:rPr>
      <w:t>2</w:t>
    </w:r>
    <w:r w:rsidRPr="002260A9">
      <w:rPr>
        <w:sz w:val="18"/>
        <w:szCs w:val="18"/>
      </w:rPr>
      <w:fldChar w:fldCharType="end"/>
    </w:r>
    <w:r w:rsidRPr="002260A9">
      <w:rPr>
        <w:sz w:val="18"/>
        <w:szCs w:val="18"/>
      </w:rPr>
      <w:t xml:space="preserve"> de </w:t>
    </w:r>
    <w:r w:rsidRPr="002260A9">
      <w:rPr>
        <w:sz w:val="18"/>
        <w:szCs w:val="18"/>
      </w:rPr>
      <w:fldChar w:fldCharType="begin"/>
    </w:r>
    <w:r w:rsidRPr="002260A9">
      <w:rPr>
        <w:sz w:val="18"/>
        <w:szCs w:val="18"/>
      </w:rPr>
      <w:instrText>NUMPAGES  \* Arabic  \* MERGEFORMAT</w:instrText>
    </w:r>
    <w:r w:rsidRPr="002260A9">
      <w:rPr>
        <w:sz w:val="18"/>
        <w:szCs w:val="18"/>
      </w:rPr>
      <w:fldChar w:fldCharType="separate"/>
    </w:r>
    <w:r w:rsidRPr="002260A9">
      <w:rPr>
        <w:sz w:val="18"/>
        <w:szCs w:val="18"/>
      </w:rPr>
      <w:t>2</w:t>
    </w:r>
    <w:r w:rsidRPr="002260A9">
      <w:rPr>
        <w:sz w:val="18"/>
        <w:szCs w:val="18"/>
      </w:rPr>
      <w:fldChar w:fldCharType="end"/>
    </w:r>
  </w:p>
  <w:p w14:paraId="3132C31A" w14:textId="60F9177F" w:rsidR="00EB0CCE" w:rsidRDefault="00EB0CCE" w:rsidP="00EB0CCE">
    <w:pPr>
      <w:pStyle w:val="Piedepgina"/>
      <w:tabs>
        <w:tab w:val="right" w:pos="9072"/>
      </w:tabs>
      <w:spacing w:line="276" w:lineRule="auto"/>
      <w:rPr>
        <w:rFonts w:ascii="Times New Roman" w:hAnsi="Times New Roman" w:cs="Times New Roman"/>
        <w:sz w:val="16"/>
        <w:szCs w:val="16"/>
      </w:rPr>
    </w:pPr>
  </w:p>
  <w:p w14:paraId="0EFB7156" w14:textId="2040A89B" w:rsidR="007A0690" w:rsidRPr="00C23F9A" w:rsidRDefault="007A0690" w:rsidP="00E767DF">
    <w:pPr>
      <w:pStyle w:val="Piedepgin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9083" w14:textId="77777777" w:rsidR="0047138B" w:rsidRDefault="0047138B">
      <w:pPr>
        <w:rPr>
          <w:rFonts w:hint="eastAsia"/>
        </w:rPr>
      </w:pPr>
      <w:r>
        <w:separator/>
      </w:r>
    </w:p>
  </w:footnote>
  <w:footnote w:type="continuationSeparator" w:id="0">
    <w:p w14:paraId="19EDD0B4" w14:textId="77777777" w:rsidR="0047138B" w:rsidRDefault="004713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48F8" w14:textId="77777777" w:rsidR="00610998" w:rsidRDefault="0047138B">
    <w:pPr>
      <w:pStyle w:val="Encabezado"/>
      <w:rPr>
        <w:rFonts w:hint="eastAsia"/>
      </w:rPr>
    </w:pPr>
    <w:r>
      <w:rPr>
        <w:rFonts w:hint="eastAsia"/>
        <w:noProof/>
        <w:lang w:val="es-PY" w:eastAsia="es-PY" w:bidi="ar-SA"/>
      </w:rPr>
      <w:pict w14:anchorId="1E7DB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2" o:spid="_x0000_s2053" type="#_x0000_t75" style="position:absolute;margin-left:0;margin-top:0;width:255pt;height:226.8pt;z-index:-251657216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CBC5" w14:textId="4C6CCD36" w:rsidR="008F06F5" w:rsidRDefault="00DC7FE9" w:rsidP="00EB0CCE">
    <w:pPr>
      <w:pStyle w:val="Encabezado"/>
      <w:pBdr>
        <w:bottom w:val="single" w:sz="4" w:space="1" w:color="auto"/>
      </w:pBdr>
      <w:jc w:val="center"/>
      <w:rPr>
        <w:rFonts w:ascii="Book Antiqua" w:hAnsi="Book Antiqua"/>
        <w:bCs/>
        <w:i/>
        <w:iCs/>
      </w:rPr>
    </w:pPr>
    <w:r w:rsidRPr="00EB0CCE">
      <w:rPr>
        <w:rFonts w:ascii="Book Antiqua" w:hAnsi="Book Antiqua"/>
        <w:bCs/>
        <w:i/>
        <w:iCs/>
        <w:noProof/>
        <w:sz w:val="16"/>
        <w:szCs w:val="16"/>
      </w:rPr>
      <w:drawing>
        <wp:anchor distT="0" distB="0" distL="114300" distR="114300" simplePos="0" relativeHeight="251694592" behindDoc="1" locked="0" layoutInCell="1" allowOverlap="1" wp14:anchorId="3DEFE38B" wp14:editId="1A6263E2">
          <wp:simplePos x="0" y="0"/>
          <wp:positionH relativeFrom="column">
            <wp:posOffset>-622935</wp:posOffset>
          </wp:positionH>
          <wp:positionV relativeFrom="paragraph">
            <wp:posOffset>-894080</wp:posOffset>
          </wp:positionV>
          <wp:extent cx="4733925" cy="798830"/>
          <wp:effectExtent l="0" t="0" r="9525" b="1270"/>
          <wp:wrapTight wrapText="bothSides">
            <wp:wrapPolygon edited="0">
              <wp:start x="0" y="0"/>
              <wp:lineTo x="0" y="21119"/>
              <wp:lineTo x="21557" y="21119"/>
              <wp:lineTo x="21557" y="0"/>
              <wp:lineTo x="0" y="0"/>
            </wp:wrapPolygon>
          </wp:wrapTight>
          <wp:docPr id="120922639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70327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92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Cs/>
        <w:i/>
        <w:iCs/>
      </w:rPr>
      <w:t>ANEXO RESOLUCIÓN UTGS/DE N°     /202</w:t>
    </w:r>
    <w:r w:rsidR="00E172E1">
      <w:rPr>
        <w:rFonts w:ascii="Book Antiqua" w:hAnsi="Book Antiqua"/>
        <w:bCs/>
        <w:i/>
        <w:iCs/>
      </w:rPr>
      <w:t>6</w:t>
    </w:r>
  </w:p>
  <w:p w14:paraId="53FA6B1B" w14:textId="77777777" w:rsidR="00867118" w:rsidRDefault="00867118" w:rsidP="00EB0CCE">
    <w:pPr>
      <w:pStyle w:val="Encabezado"/>
      <w:pBdr>
        <w:bottom w:val="single" w:sz="4" w:space="1" w:color="auto"/>
      </w:pBdr>
      <w:jc w:val="center"/>
      <w:rPr>
        <w:rFonts w:ascii="Book Antiqua" w:hAnsi="Book Antiqua"/>
        <w:bCs/>
        <w:i/>
        <w:iCs/>
      </w:rPr>
    </w:pPr>
  </w:p>
  <w:p w14:paraId="0171111A" w14:textId="71C8959B" w:rsidR="00867118" w:rsidRDefault="00867118" w:rsidP="00EB0CCE">
    <w:pPr>
      <w:pStyle w:val="Encabezado"/>
      <w:pBdr>
        <w:bottom w:val="single" w:sz="4" w:space="1" w:color="auto"/>
      </w:pBdr>
      <w:jc w:val="center"/>
      <w:rPr>
        <w:rFonts w:ascii="Book Antiqua" w:hAnsi="Book Antiqua"/>
        <w:bCs/>
        <w:i/>
        <w:iCs/>
      </w:rPr>
    </w:pPr>
    <w:r>
      <w:rPr>
        <w:rFonts w:ascii="Book Antiqua" w:hAnsi="Book Antiqua"/>
        <w:bCs/>
        <w:i/>
        <w:iCs/>
      </w:rPr>
      <w:t xml:space="preserve">Plan de Rendición de Cuentas al Ciudadano </w:t>
    </w:r>
  </w:p>
  <w:p w14:paraId="7A6AD1DA" w14:textId="770C4BCF" w:rsidR="00DC7FE9" w:rsidRDefault="00DC7FE9" w:rsidP="005518B7">
    <w:pPr>
      <w:tabs>
        <w:tab w:val="left" w:pos="851"/>
        <w:tab w:val="left" w:pos="1418"/>
        <w:tab w:val="left" w:pos="1985"/>
      </w:tabs>
      <w:jc w:val="both"/>
      <w:rPr>
        <w:rFonts w:ascii="Times New Roman" w:hAnsi="Times New Roman"/>
        <w:b/>
        <w:i/>
        <w:iCs/>
        <w:sz w:val="16"/>
        <w:szCs w:val="16"/>
      </w:rPr>
    </w:pPr>
  </w:p>
  <w:p w14:paraId="13262BC6" w14:textId="1637EC24" w:rsidR="00441C6A" w:rsidRPr="005518B7" w:rsidRDefault="0047138B" w:rsidP="005518B7">
    <w:pPr>
      <w:tabs>
        <w:tab w:val="left" w:pos="851"/>
        <w:tab w:val="left" w:pos="1418"/>
        <w:tab w:val="left" w:pos="1985"/>
      </w:tabs>
      <w:jc w:val="both"/>
      <w:rPr>
        <w:rFonts w:ascii="Times New Roman" w:hAnsi="Times New Roman"/>
        <w:b/>
        <w:i/>
        <w:iCs/>
        <w:sz w:val="16"/>
        <w:szCs w:val="16"/>
      </w:rPr>
    </w:pPr>
    <w:r>
      <w:rPr>
        <w:noProof/>
        <w:lang w:val="es-PY" w:eastAsia="es-PY" w:bidi="ar-SA"/>
      </w:rPr>
      <w:pict w14:anchorId="5D907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3" o:spid="_x0000_s2054" type="#_x0000_t75" style="position:absolute;left:0;text-align:left;margin-left:85.1pt;margin-top:194.2pt;width:255pt;height:226.8pt;z-index:-251656192;mso-position-horizontal-relative:margin;mso-position-vertical-relative:margin" o:allowincell="f">
          <v:imagedata r:id="rId2" o:title="iso-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0D8C" w14:textId="77777777" w:rsidR="00610998" w:rsidRDefault="0047138B">
    <w:pPr>
      <w:pStyle w:val="Encabezado"/>
      <w:rPr>
        <w:rFonts w:hint="eastAsia"/>
      </w:rPr>
    </w:pPr>
    <w:r>
      <w:rPr>
        <w:rFonts w:hint="eastAsia"/>
        <w:noProof/>
        <w:lang w:val="es-PY" w:eastAsia="es-PY" w:bidi="ar-SA"/>
      </w:rPr>
      <w:pict w14:anchorId="0B5C0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51171" o:spid="_x0000_s2052" type="#_x0000_t75" style="position:absolute;margin-left:0;margin-top:0;width:255pt;height:226.8pt;z-index:-251658240;mso-position-horizontal:center;mso-position-horizontal-relative:margin;mso-position-vertical:center;mso-position-vertical-relative:margin" o:allowincell="f">
          <v:imagedata r:id="rId1" o:title="iso-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0CC3"/>
    <w:multiLevelType w:val="hybridMultilevel"/>
    <w:tmpl w:val="479CB946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0427"/>
    <w:multiLevelType w:val="hybridMultilevel"/>
    <w:tmpl w:val="723AB00E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C7DD0"/>
    <w:multiLevelType w:val="multilevel"/>
    <w:tmpl w:val="28EC3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EA6428"/>
    <w:multiLevelType w:val="hybridMultilevel"/>
    <w:tmpl w:val="FE606630"/>
    <w:lvl w:ilvl="0" w:tplc="3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22B2"/>
    <w:multiLevelType w:val="hybridMultilevel"/>
    <w:tmpl w:val="107CC31C"/>
    <w:lvl w:ilvl="0" w:tplc="3B9AD738">
      <w:start w:val="4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26563"/>
    <w:multiLevelType w:val="hybridMultilevel"/>
    <w:tmpl w:val="F29619F4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7A"/>
    <w:multiLevelType w:val="hybridMultilevel"/>
    <w:tmpl w:val="3AB80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06E78"/>
    <w:multiLevelType w:val="hybridMultilevel"/>
    <w:tmpl w:val="2B665CF6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03E6A"/>
    <w:multiLevelType w:val="multilevel"/>
    <w:tmpl w:val="37CCE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E57D42"/>
    <w:multiLevelType w:val="hybridMultilevel"/>
    <w:tmpl w:val="10E464D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B0C65"/>
    <w:multiLevelType w:val="hybridMultilevel"/>
    <w:tmpl w:val="22546B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02FBB"/>
    <w:multiLevelType w:val="hybridMultilevel"/>
    <w:tmpl w:val="21146EC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03639"/>
    <w:multiLevelType w:val="hybridMultilevel"/>
    <w:tmpl w:val="03A0826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5E9D"/>
    <w:multiLevelType w:val="hybridMultilevel"/>
    <w:tmpl w:val="42BC74B8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74A33"/>
    <w:multiLevelType w:val="hybridMultilevel"/>
    <w:tmpl w:val="911C6E2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A45AF"/>
    <w:multiLevelType w:val="hybridMultilevel"/>
    <w:tmpl w:val="3452B946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C7D18"/>
    <w:multiLevelType w:val="hybridMultilevel"/>
    <w:tmpl w:val="D9144F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55E17"/>
    <w:multiLevelType w:val="hybridMultilevel"/>
    <w:tmpl w:val="DE8AE9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"/>
  </w:num>
  <w:num w:numId="5">
    <w:abstractNumId w:val="0"/>
  </w:num>
  <w:num w:numId="6">
    <w:abstractNumId w:val="13"/>
  </w:num>
  <w:num w:numId="7">
    <w:abstractNumId w:val="16"/>
  </w:num>
  <w:num w:numId="8">
    <w:abstractNumId w:val="15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5"/>
  </w:num>
  <w:num w:numId="14">
    <w:abstractNumId w:val="11"/>
  </w:num>
  <w:num w:numId="15">
    <w:abstractNumId w:val="4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autoHyphenation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6A"/>
    <w:rsid w:val="00007A13"/>
    <w:rsid w:val="00010A4E"/>
    <w:rsid w:val="00014164"/>
    <w:rsid w:val="000346EE"/>
    <w:rsid w:val="000351C3"/>
    <w:rsid w:val="00044249"/>
    <w:rsid w:val="0004465F"/>
    <w:rsid w:val="00055454"/>
    <w:rsid w:val="00060C5D"/>
    <w:rsid w:val="00085640"/>
    <w:rsid w:val="00087A65"/>
    <w:rsid w:val="000975AB"/>
    <w:rsid w:val="000A69E3"/>
    <w:rsid w:val="000B02E9"/>
    <w:rsid w:val="000B206C"/>
    <w:rsid w:val="000B6327"/>
    <w:rsid w:val="000C3473"/>
    <w:rsid w:val="000C6F06"/>
    <w:rsid w:val="000D5745"/>
    <w:rsid w:val="000E1392"/>
    <w:rsid w:val="000E36B8"/>
    <w:rsid w:val="000F0314"/>
    <w:rsid w:val="000F478A"/>
    <w:rsid w:val="000F4D75"/>
    <w:rsid w:val="000F4DB5"/>
    <w:rsid w:val="00100BFF"/>
    <w:rsid w:val="0010157D"/>
    <w:rsid w:val="00104E40"/>
    <w:rsid w:val="0011160A"/>
    <w:rsid w:val="00132C4F"/>
    <w:rsid w:val="00141ABB"/>
    <w:rsid w:val="00142E13"/>
    <w:rsid w:val="00150269"/>
    <w:rsid w:val="00150F71"/>
    <w:rsid w:val="00161A1F"/>
    <w:rsid w:val="00161C30"/>
    <w:rsid w:val="00197D81"/>
    <w:rsid w:val="001A1BE4"/>
    <w:rsid w:val="001B4CFE"/>
    <w:rsid w:val="001B608F"/>
    <w:rsid w:val="001C6859"/>
    <w:rsid w:val="001C75D5"/>
    <w:rsid w:val="001D4C40"/>
    <w:rsid w:val="001D5939"/>
    <w:rsid w:val="001D6B0B"/>
    <w:rsid w:val="001E007B"/>
    <w:rsid w:val="002072FC"/>
    <w:rsid w:val="002260A9"/>
    <w:rsid w:val="00244B93"/>
    <w:rsid w:val="00246FE0"/>
    <w:rsid w:val="0026339C"/>
    <w:rsid w:val="00281458"/>
    <w:rsid w:val="0028272E"/>
    <w:rsid w:val="00282804"/>
    <w:rsid w:val="002833AF"/>
    <w:rsid w:val="002923A9"/>
    <w:rsid w:val="00297E06"/>
    <w:rsid w:val="002B6D56"/>
    <w:rsid w:val="002B7150"/>
    <w:rsid w:val="002B7E60"/>
    <w:rsid w:val="002C589E"/>
    <w:rsid w:val="002C7804"/>
    <w:rsid w:val="002D24A4"/>
    <w:rsid w:val="002D3824"/>
    <w:rsid w:val="002E36BE"/>
    <w:rsid w:val="002F00ED"/>
    <w:rsid w:val="002F1035"/>
    <w:rsid w:val="002F1D18"/>
    <w:rsid w:val="002F674E"/>
    <w:rsid w:val="002F710E"/>
    <w:rsid w:val="00300A8E"/>
    <w:rsid w:val="0030203C"/>
    <w:rsid w:val="00306E4B"/>
    <w:rsid w:val="00307D4C"/>
    <w:rsid w:val="0031253D"/>
    <w:rsid w:val="0031683A"/>
    <w:rsid w:val="00320434"/>
    <w:rsid w:val="00322797"/>
    <w:rsid w:val="00323D41"/>
    <w:rsid w:val="00336344"/>
    <w:rsid w:val="00371B65"/>
    <w:rsid w:val="0038287D"/>
    <w:rsid w:val="003828C3"/>
    <w:rsid w:val="00391B14"/>
    <w:rsid w:val="00397718"/>
    <w:rsid w:val="003A2AB2"/>
    <w:rsid w:val="003A5108"/>
    <w:rsid w:val="003A5B49"/>
    <w:rsid w:val="003B512F"/>
    <w:rsid w:val="003D3DEC"/>
    <w:rsid w:val="003E0E0A"/>
    <w:rsid w:val="003F764E"/>
    <w:rsid w:val="00400E43"/>
    <w:rsid w:val="004124E7"/>
    <w:rsid w:val="00413518"/>
    <w:rsid w:val="004206B1"/>
    <w:rsid w:val="00426636"/>
    <w:rsid w:val="00434007"/>
    <w:rsid w:val="00441C6A"/>
    <w:rsid w:val="004426B7"/>
    <w:rsid w:val="004502F1"/>
    <w:rsid w:val="0045082C"/>
    <w:rsid w:val="00467441"/>
    <w:rsid w:val="0047138B"/>
    <w:rsid w:val="00473997"/>
    <w:rsid w:val="004739EF"/>
    <w:rsid w:val="00480D47"/>
    <w:rsid w:val="0048322D"/>
    <w:rsid w:val="0048366E"/>
    <w:rsid w:val="00487A64"/>
    <w:rsid w:val="004924F0"/>
    <w:rsid w:val="00496CD7"/>
    <w:rsid w:val="004A51D3"/>
    <w:rsid w:val="004B2B4A"/>
    <w:rsid w:val="004C2D4B"/>
    <w:rsid w:val="004C4379"/>
    <w:rsid w:val="004C675E"/>
    <w:rsid w:val="004E3F01"/>
    <w:rsid w:val="005025BF"/>
    <w:rsid w:val="00540508"/>
    <w:rsid w:val="00543389"/>
    <w:rsid w:val="005518B7"/>
    <w:rsid w:val="00554672"/>
    <w:rsid w:val="00556D8F"/>
    <w:rsid w:val="005647EB"/>
    <w:rsid w:val="0056774F"/>
    <w:rsid w:val="0058102A"/>
    <w:rsid w:val="005906CD"/>
    <w:rsid w:val="00592301"/>
    <w:rsid w:val="005943E1"/>
    <w:rsid w:val="00596449"/>
    <w:rsid w:val="005A1E67"/>
    <w:rsid w:val="005A2BB5"/>
    <w:rsid w:val="005B2B4B"/>
    <w:rsid w:val="005D11FD"/>
    <w:rsid w:val="005D26B7"/>
    <w:rsid w:val="005D606D"/>
    <w:rsid w:val="005F123C"/>
    <w:rsid w:val="005F7276"/>
    <w:rsid w:val="0061057C"/>
    <w:rsid w:val="00610998"/>
    <w:rsid w:val="006316BB"/>
    <w:rsid w:val="00635BD7"/>
    <w:rsid w:val="0065279A"/>
    <w:rsid w:val="00666ED0"/>
    <w:rsid w:val="0067704D"/>
    <w:rsid w:val="00682AA9"/>
    <w:rsid w:val="006839A6"/>
    <w:rsid w:val="00687287"/>
    <w:rsid w:val="006908D7"/>
    <w:rsid w:val="00690DAC"/>
    <w:rsid w:val="006B07D1"/>
    <w:rsid w:val="006B0936"/>
    <w:rsid w:val="006B0AE2"/>
    <w:rsid w:val="006B27E7"/>
    <w:rsid w:val="006B3C1A"/>
    <w:rsid w:val="006B3D45"/>
    <w:rsid w:val="006C0D01"/>
    <w:rsid w:val="006C1968"/>
    <w:rsid w:val="006C4D1C"/>
    <w:rsid w:val="006C7CFA"/>
    <w:rsid w:val="006D3C4C"/>
    <w:rsid w:val="006D69F4"/>
    <w:rsid w:val="006E5ED0"/>
    <w:rsid w:val="006E76D4"/>
    <w:rsid w:val="006F6B7A"/>
    <w:rsid w:val="00703AFE"/>
    <w:rsid w:val="00713805"/>
    <w:rsid w:val="00715AF9"/>
    <w:rsid w:val="00716B55"/>
    <w:rsid w:val="007204A9"/>
    <w:rsid w:val="00721E3B"/>
    <w:rsid w:val="007244E5"/>
    <w:rsid w:val="00730A3D"/>
    <w:rsid w:val="00733D2E"/>
    <w:rsid w:val="00743E5F"/>
    <w:rsid w:val="00761D58"/>
    <w:rsid w:val="007644AC"/>
    <w:rsid w:val="00767F48"/>
    <w:rsid w:val="00777257"/>
    <w:rsid w:val="00781E73"/>
    <w:rsid w:val="007921D8"/>
    <w:rsid w:val="007A0690"/>
    <w:rsid w:val="007A3796"/>
    <w:rsid w:val="007A3B31"/>
    <w:rsid w:val="007A433A"/>
    <w:rsid w:val="007A7CB7"/>
    <w:rsid w:val="007B40FE"/>
    <w:rsid w:val="007C0A1F"/>
    <w:rsid w:val="007C0A77"/>
    <w:rsid w:val="007C1F75"/>
    <w:rsid w:val="007C628B"/>
    <w:rsid w:val="007D2553"/>
    <w:rsid w:val="007D4F98"/>
    <w:rsid w:val="007E6222"/>
    <w:rsid w:val="007F6BE8"/>
    <w:rsid w:val="00803F1B"/>
    <w:rsid w:val="00804014"/>
    <w:rsid w:val="00811FA8"/>
    <w:rsid w:val="00812EFE"/>
    <w:rsid w:val="0081347F"/>
    <w:rsid w:val="0082464D"/>
    <w:rsid w:val="00830643"/>
    <w:rsid w:val="008458D2"/>
    <w:rsid w:val="0085235B"/>
    <w:rsid w:val="00857D3B"/>
    <w:rsid w:val="00867118"/>
    <w:rsid w:val="00874DC0"/>
    <w:rsid w:val="0088065E"/>
    <w:rsid w:val="00890F81"/>
    <w:rsid w:val="008910C1"/>
    <w:rsid w:val="00893367"/>
    <w:rsid w:val="008A30BB"/>
    <w:rsid w:val="008C0156"/>
    <w:rsid w:val="008C2AD0"/>
    <w:rsid w:val="008C620C"/>
    <w:rsid w:val="008D078E"/>
    <w:rsid w:val="008E03E9"/>
    <w:rsid w:val="008E55CE"/>
    <w:rsid w:val="008F06F5"/>
    <w:rsid w:val="008F200C"/>
    <w:rsid w:val="008F314A"/>
    <w:rsid w:val="008F7270"/>
    <w:rsid w:val="008F7412"/>
    <w:rsid w:val="008F7B3B"/>
    <w:rsid w:val="00905631"/>
    <w:rsid w:val="009125CF"/>
    <w:rsid w:val="00913565"/>
    <w:rsid w:val="00914D54"/>
    <w:rsid w:val="00915909"/>
    <w:rsid w:val="00930CA1"/>
    <w:rsid w:val="0093287E"/>
    <w:rsid w:val="00933770"/>
    <w:rsid w:val="00934A09"/>
    <w:rsid w:val="00941251"/>
    <w:rsid w:val="00943689"/>
    <w:rsid w:val="00943B57"/>
    <w:rsid w:val="00953B13"/>
    <w:rsid w:val="0097094C"/>
    <w:rsid w:val="00974F08"/>
    <w:rsid w:val="00982E30"/>
    <w:rsid w:val="00990122"/>
    <w:rsid w:val="009901C3"/>
    <w:rsid w:val="009907D4"/>
    <w:rsid w:val="009A13D6"/>
    <w:rsid w:val="009B1494"/>
    <w:rsid w:val="009B7710"/>
    <w:rsid w:val="009C216C"/>
    <w:rsid w:val="009D698C"/>
    <w:rsid w:val="009E1012"/>
    <w:rsid w:val="009F778D"/>
    <w:rsid w:val="00A2460A"/>
    <w:rsid w:val="00A24C0F"/>
    <w:rsid w:val="00A24FDE"/>
    <w:rsid w:val="00A37699"/>
    <w:rsid w:val="00A4346B"/>
    <w:rsid w:val="00A449BA"/>
    <w:rsid w:val="00A510C0"/>
    <w:rsid w:val="00A61621"/>
    <w:rsid w:val="00A736FD"/>
    <w:rsid w:val="00A77199"/>
    <w:rsid w:val="00AA283F"/>
    <w:rsid w:val="00AA502C"/>
    <w:rsid w:val="00AA667D"/>
    <w:rsid w:val="00AD077B"/>
    <w:rsid w:val="00AD077D"/>
    <w:rsid w:val="00AD3E14"/>
    <w:rsid w:val="00AE20F4"/>
    <w:rsid w:val="00AF1709"/>
    <w:rsid w:val="00AF48E4"/>
    <w:rsid w:val="00B13553"/>
    <w:rsid w:val="00B15ED2"/>
    <w:rsid w:val="00B16C53"/>
    <w:rsid w:val="00B24BDB"/>
    <w:rsid w:val="00B3570F"/>
    <w:rsid w:val="00B37FA8"/>
    <w:rsid w:val="00B45DB5"/>
    <w:rsid w:val="00B51CEE"/>
    <w:rsid w:val="00B60919"/>
    <w:rsid w:val="00B644A9"/>
    <w:rsid w:val="00B77F9D"/>
    <w:rsid w:val="00B80898"/>
    <w:rsid w:val="00B83EC0"/>
    <w:rsid w:val="00B90954"/>
    <w:rsid w:val="00B921F8"/>
    <w:rsid w:val="00B95280"/>
    <w:rsid w:val="00B95623"/>
    <w:rsid w:val="00BA6CEA"/>
    <w:rsid w:val="00BB1CFD"/>
    <w:rsid w:val="00BB4D6A"/>
    <w:rsid w:val="00BD59CA"/>
    <w:rsid w:val="00BE2B29"/>
    <w:rsid w:val="00BF5A80"/>
    <w:rsid w:val="00C00CB9"/>
    <w:rsid w:val="00C02575"/>
    <w:rsid w:val="00C07A65"/>
    <w:rsid w:val="00C13F83"/>
    <w:rsid w:val="00C20D79"/>
    <w:rsid w:val="00C22500"/>
    <w:rsid w:val="00C23F9A"/>
    <w:rsid w:val="00C246B5"/>
    <w:rsid w:val="00C247E6"/>
    <w:rsid w:val="00C31798"/>
    <w:rsid w:val="00C3498A"/>
    <w:rsid w:val="00C40505"/>
    <w:rsid w:val="00C478E3"/>
    <w:rsid w:val="00C716EC"/>
    <w:rsid w:val="00C852E4"/>
    <w:rsid w:val="00C86171"/>
    <w:rsid w:val="00C9127C"/>
    <w:rsid w:val="00CA50F5"/>
    <w:rsid w:val="00CC0A27"/>
    <w:rsid w:val="00CC2646"/>
    <w:rsid w:val="00CD4504"/>
    <w:rsid w:val="00CE4BB6"/>
    <w:rsid w:val="00CF0063"/>
    <w:rsid w:val="00D000F3"/>
    <w:rsid w:val="00D00938"/>
    <w:rsid w:val="00D15713"/>
    <w:rsid w:val="00D24C84"/>
    <w:rsid w:val="00D3191C"/>
    <w:rsid w:val="00D323A9"/>
    <w:rsid w:val="00D37ED4"/>
    <w:rsid w:val="00D413F5"/>
    <w:rsid w:val="00D539C0"/>
    <w:rsid w:val="00D560D4"/>
    <w:rsid w:val="00D56B22"/>
    <w:rsid w:val="00D625BF"/>
    <w:rsid w:val="00D776A2"/>
    <w:rsid w:val="00D809DA"/>
    <w:rsid w:val="00D80FF7"/>
    <w:rsid w:val="00D86848"/>
    <w:rsid w:val="00D92782"/>
    <w:rsid w:val="00DA1EEC"/>
    <w:rsid w:val="00DA558E"/>
    <w:rsid w:val="00DA6BEF"/>
    <w:rsid w:val="00DA6C66"/>
    <w:rsid w:val="00DB0D74"/>
    <w:rsid w:val="00DC1057"/>
    <w:rsid w:val="00DC1CA8"/>
    <w:rsid w:val="00DC5BAB"/>
    <w:rsid w:val="00DC7FE9"/>
    <w:rsid w:val="00DE184B"/>
    <w:rsid w:val="00DF17A7"/>
    <w:rsid w:val="00DF2D33"/>
    <w:rsid w:val="00DF33D4"/>
    <w:rsid w:val="00E04592"/>
    <w:rsid w:val="00E1224D"/>
    <w:rsid w:val="00E1332D"/>
    <w:rsid w:val="00E172E1"/>
    <w:rsid w:val="00E333D5"/>
    <w:rsid w:val="00E470A6"/>
    <w:rsid w:val="00E521FA"/>
    <w:rsid w:val="00E60AA9"/>
    <w:rsid w:val="00E66BD3"/>
    <w:rsid w:val="00E71D4E"/>
    <w:rsid w:val="00E767DF"/>
    <w:rsid w:val="00E82930"/>
    <w:rsid w:val="00E8518C"/>
    <w:rsid w:val="00E8659F"/>
    <w:rsid w:val="00E92B90"/>
    <w:rsid w:val="00EA0428"/>
    <w:rsid w:val="00EA12B5"/>
    <w:rsid w:val="00EB0CCE"/>
    <w:rsid w:val="00EB137F"/>
    <w:rsid w:val="00EB2484"/>
    <w:rsid w:val="00EB5888"/>
    <w:rsid w:val="00EE62D5"/>
    <w:rsid w:val="00F01A93"/>
    <w:rsid w:val="00F115C4"/>
    <w:rsid w:val="00F33325"/>
    <w:rsid w:val="00F37392"/>
    <w:rsid w:val="00F42D9E"/>
    <w:rsid w:val="00F43EDA"/>
    <w:rsid w:val="00F44D2E"/>
    <w:rsid w:val="00F52866"/>
    <w:rsid w:val="00F53B45"/>
    <w:rsid w:val="00F54F89"/>
    <w:rsid w:val="00F72077"/>
    <w:rsid w:val="00F8455A"/>
    <w:rsid w:val="00F9520C"/>
    <w:rsid w:val="00F96527"/>
    <w:rsid w:val="00FA005B"/>
    <w:rsid w:val="00FA2ED9"/>
    <w:rsid w:val="00FB0170"/>
    <w:rsid w:val="00FB316F"/>
    <w:rsid w:val="00FD62DD"/>
    <w:rsid w:val="00FE30C1"/>
    <w:rsid w:val="00FE4511"/>
    <w:rsid w:val="00FF1856"/>
    <w:rsid w:val="00FF2B01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7EB130C"/>
  <w15:docId w15:val="{479CF872-2DD7-475A-BB9F-4A89DDE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0D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  <w:link w:val="EncabezadoCar"/>
    <w:uiPriority w:val="99"/>
  </w:style>
  <w:style w:type="paragraph" w:styleId="Piedepgina">
    <w:name w:val="footer"/>
    <w:basedOn w:val="Cabeceraypie"/>
    <w:link w:val="PiedepginaCar"/>
    <w:uiPriority w:val="99"/>
  </w:style>
  <w:style w:type="character" w:customStyle="1" w:styleId="Ttulo2Car">
    <w:name w:val="Título 2 Car"/>
    <w:basedOn w:val="Fuentedeprrafopredeter"/>
    <w:link w:val="Ttulo2"/>
    <w:uiPriority w:val="9"/>
    <w:rsid w:val="00D560D4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D560D4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s-PY" w:eastAsia="es-PY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560D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s-ES_tradn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67DF"/>
  </w:style>
  <w:style w:type="character" w:styleId="Hipervnculo">
    <w:name w:val="Hyperlink"/>
    <w:basedOn w:val="Fuentedeprrafopredeter"/>
    <w:uiPriority w:val="99"/>
    <w:unhideWhenUsed/>
    <w:rsid w:val="00A24C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C0F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EB0CCE"/>
  </w:style>
  <w:style w:type="paragraph" w:customStyle="1" w:styleId="TableParagraph">
    <w:name w:val="Table Paragraph"/>
    <w:basedOn w:val="Normal"/>
    <w:uiPriority w:val="1"/>
    <w:qFormat/>
    <w:rsid w:val="007644AC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2482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Villalba</dc:creator>
  <dc:description/>
  <cp:lastModifiedBy>Daniel</cp:lastModifiedBy>
  <cp:revision>10</cp:revision>
  <cp:lastPrinted>2026-02-23T17:45:00Z</cp:lastPrinted>
  <dcterms:created xsi:type="dcterms:W3CDTF">2026-02-16T16:07:00Z</dcterms:created>
  <dcterms:modified xsi:type="dcterms:W3CDTF">2026-02-23T17:49:00Z</dcterms:modified>
  <dc:language>es-ES</dc:language>
</cp:coreProperties>
</file>